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E7A" w:rsidRDefault="00A36422">
      <w:pPr>
        <w:ind w:left="3686" w:hanging="1"/>
        <w:jc w:val="center"/>
        <w:rPr>
          <w:sz w:val="28"/>
          <w:szCs w:val="28"/>
        </w:rPr>
      </w:pPr>
      <w:r>
        <w:rPr>
          <w:sz w:val="28"/>
          <w:szCs w:val="28"/>
        </w:rPr>
        <w:t>УТВЕРЖДЕНО</w:t>
      </w:r>
    </w:p>
    <w:p w:rsidR="00CA5E7A" w:rsidRDefault="00A36422">
      <w:pPr>
        <w:ind w:left="3686" w:hanging="1"/>
        <w:jc w:val="center"/>
        <w:rPr>
          <w:sz w:val="28"/>
          <w:szCs w:val="28"/>
        </w:rPr>
      </w:pPr>
      <w:r>
        <w:rPr>
          <w:bCs/>
          <w:sz w:val="28"/>
          <w:szCs w:val="28"/>
        </w:rPr>
        <w:t>Решением Совета директоров</w:t>
      </w:r>
    </w:p>
    <w:p w:rsidR="00F23C60" w:rsidRDefault="002839A6" w:rsidP="00F23C60">
      <w:pPr>
        <w:ind w:left="3686" w:hanging="1"/>
        <w:jc w:val="center"/>
        <w:rPr>
          <w:sz w:val="28"/>
          <w:szCs w:val="28"/>
        </w:rPr>
      </w:pPr>
      <w:r>
        <w:rPr>
          <w:bCs/>
          <w:sz w:val="28"/>
          <w:szCs w:val="28"/>
        </w:rPr>
        <w:t>ПАО «Газпром газораспределение</w:t>
      </w:r>
      <w:r w:rsidR="00A36422">
        <w:rPr>
          <w:bCs/>
          <w:sz w:val="28"/>
          <w:szCs w:val="28"/>
        </w:rPr>
        <w:t xml:space="preserve"> Уфа»</w:t>
      </w:r>
    </w:p>
    <w:p w:rsidR="00F23C60" w:rsidRDefault="00F23C60" w:rsidP="00F23C60">
      <w:pPr>
        <w:ind w:left="3686" w:hanging="1"/>
        <w:jc w:val="center"/>
        <w:rPr>
          <w:sz w:val="28"/>
          <w:szCs w:val="28"/>
        </w:rPr>
      </w:pPr>
      <w:r>
        <w:rPr>
          <w:sz w:val="28"/>
          <w:szCs w:val="28"/>
        </w:rPr>
        <w:t>от «18» ноября</w:t>
      </w:r>
      <w:r>
        <w:rPr>
          <w:sz w:val="28"/>
          <w:szCs w:val="28"/>
        </w:rPr>
        <w:t xml:space="preserve"> 2024</w:t>
      </w:r>
      <w:r>
        <w:rPr>
          <w:sz w:val="28"/>
          <w:szCs w:val="28"/>
          <w:lang w:val="en-US"/>
        </w:rPr>
        <w:t xml:space="preserve"> </w:t>
      </w:r>
      <w:r>
        <w:rPr>
          <w:sz w:val="28"/>
          <w:szCs w:val="28"/>
        </w:rPr>
        <w:t xml:space="preserve">г. </w:t>
      </w:r>
    </w:p>
    <w:p w:rsidR="00F23C60" w:rsidRDefault="00F23C60" w:rsidP="00F23C60">
      <w:pPr>
        <w:ind w:left="3686" w:hanging="1"/>
        <w:jc w:val="center"/>
        <w:rPr>
          <w:sz w:val="28"/>
          <w:szCs w:val="28"/>
        </w:rPr>
      </w:pPr>
      <w:r>
        <w:rPr>
          <w:sz w:val="28"/>
          <w:szCs w:val="28"/>
        </w:rPr>
        <w:t xml:space="preserve">(Протокол № </w:t>
      </w:r>
      <w:r>
        <w:rPr>
          <w:sz w:val="28"/>
          <w:szCs w:val="28"/>
        </w:rPr>
        <w:t>12 от 18.11</w:t>
      </w:r>
      <w:bookmarkStart w:id="0" w:name="_GoBack"/>
      <w:bookmarkEnd w:id="0"/>
      <w:r>
        <w:rPr>
          <w:sz w:val="28"/>
          <w:szCs w:val="28"/>
        </w:rPr>
        <w:t>.2024)</w:t>
      </w: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A36422">
      <w:pPr>
        <w:ind w:firstLine="0"/>
        <w:jc w:val="center"/>
        <w:rPr>
          <w:b/>
          <w:caps/>
          <w:sz w:val="28"/>
          <w:szCs w:val="28"/>
        </w:rPr>
      </w:pPr>
      <w:r>
        <w:rPr>
          <w:b/>
          <w:caps/>
          <w:sz w:val="28"/>
          <w:szCs w:val="28"/>
        </w:rPr>
        <w:t xml:space="preserve">ПоЛОЖЕНИЕ </w:t>
      </w:r>
    </w:p>
    <w:p w:rsidR="00CA5E7A" w:rsidRDefault="00A36422">
      <w:pPr>
        <w:ind w:firstLine="0"/>
        <w:jc w:val="center"/>
        <w:rPr>
          <w:b/>
          <w:bCs/>
          <w:sz w:val="28"/>
          <w:szCs w:val="28"/>
        </w:rPr>
      </w:pPr>
      <w:r>
        <w:rPr>
          <w:b/>
          <w:sz w:val="28"/>
          <w:szCs w:val="28"/>
        </w:rPr>
        <w:t>по управлению валютным риском</w:t>
      </w:r>
    </w:p>
    <w:p w:rsidR="00CA5E7A" w:rsidRDefault="00A36422">
      <w:pPr>
        <w:ind w:firstLine="0"/>
        <w:jc w:val="center"/>
        <w:rPr>
          <w:sz w:val="28"/>
          <w:szCs w:val="28"/>
        </w:rPr>
      </w:pPr>
      <w:r>
        <w:rPr>
          <w:b/>
          <w:sz w:val="28"/>
          <w:szCs w:val="28"/>
        </w:rPr>
        <w:t>ООО «Газпром межрегионгаз Уфа»</w:t>
      </w:r>
    </w:p>
    <w:p w:rsidR="00CA5E7A" w:rsidRDefault="00A36422">
      <w:pPr>
        <w:ind w:firstLine="0"/>
        <w:jc w:val="center"/>
        <w:rPr>
          <w:sz w:val="28"/>
          <w:szCs w:val="28"/>
        </w:rPr>
      </w:pPr>
      <w:r>
        <w:rPr>
          <w:sz w:val="28"/>
          <w:szCs w:val="28"/>
        </w:rPr>
        <w:t>(в новой редакции)</w:t>
      </w:r>
    </w:p>
    <w:p w:rsidR="00CA5E7A" w:rsidRDefault="00CA5E7A">
      <w:pPr>
        <w:ind w:firstLine="0"/>
        <w:rPr>
          <w:sz w:val="28"/>
          <w:szCs w:val="28"/>
        </w:rPr>
      </w:pPr>
    </w:p>
    <w:p w:rsidR="00CA5E7A" w:rsidRDefault="00CA5E7A">
      <w:pPr>
        <w:ind w:firstLine="0"/>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rPr>
          <w:sz w:val="28"/>
          <w:szCs w:val="28"/>
        </w:rPr>
      </w:pPr>
    </w:p>
    <w:p w:rsidR="00CA5E7A" w:rsidRDefault="00CA5E7A">
      <w:pPr>
        <w:jc w:val="center"/>
        <w:rPr>
          <w:b/>
          <w:bCs/>
          <w:sz w:val="28"/>
          <w:szCs w:val="28"/>
        </w:rPr>
        <w:sectPr w:rsidR="00CA5E7A">
          <w:headerReference w:type="default" r:id="rId8"/>
          <w:footerReference w:type="default" r:id="rId9"/>
          <w:type w:val="continuous"/>
          <w:pgSz w:w="11906" w:h="16838"/>
          <w:pgMar w:top="1134" w:right="851" w:bottom="1134" w:left="1418" w:header="709" w:footer="709" w:gutter="0"/>
          <w:pgNumType w:start="2"/>
          <w:cols w:space="708"/>
          <w:docGrid w:linePitch="360"/>
        </w:sectPr>
      </w:pPr>
    </w:p>
    <w:p w:rsidR="00CA5E7A" w:rsidRDefault="00A36422">
      <w:pPr>
        <w:pStyle w:val="af8"/>
        <w:numPr>
          <w:ilvl w:val="0"/>
          <w:numId w:val="0"/>
        </w:numPr>
      </w:pPr>
      <w:r>
        <w:lastRenderedPageBreak/>
        <w:t>ОГЛАВЛЕНИЕ</w:t>
      </w:r>
    </w:p>
    <w:p w:rsidR="00CA5E7A" w:rsidRDefault="00A36422">
      <w:pPr>
        <w:pStyle w:val="13"/>
        <w:tabs>
          <w:tab w:val="left" w:pos="567"/>
          <w:tab w:val="left" w:pos="850"/>
        </w:tabs>
      </w:pPr>
      <w:r>
        <w:rPr>
          <w:sz w:val="20"/>
          <w:szCs w:val="20"/>
        </w:rPr>
        <w:fldChar w:fldCharType="begin"/>
      </w:r>
      <w:r>
        <w:rPr>
          <w:sz w:val="20"/>
          <w:szCs w:val="20"/>
        </w:rPr>
        <w:instrText xml:space="preserve"> TOC \o "1-3" \h \z \u </w:instrText>
      </w:r>
      <w:r>
        <w:rPr>
          <w:sz w:val="20"/>
          <w:szCs w:val="20"/>
        </w:rPr>
        <w:fldChar w:fldCharType="separate"/>
      </w:r>
      <w:hyperlink w:anchor="_Toc1" w:tooltip="#_Toc1" w:history="1">
        <w:r>
          <w:t>1.</w:t>
        </w:r>
        <w:r>
          <w:tab/>
        </w:r>
        <w:r>
          <w:rPr>
            <w:rStyle w:val="aff"/>
          </w:rPr>
          <w:t>Общие положения</w:t>
        </w:r>
        <w:r>
          <w:tab/>
        </w:r>
        <w:r>
          <w:fldChar w:fldCharType="begin"/>
        </w:r>
        <w:r>
          <w:instrText>PAGEREF _Toc1 \h</w:instrText>
        </w:r>
        <w:r>
          <w:fldChar w:fldCharType="separate"/>
        </w:r>
        <w:r>
          <w:t>3</w:t>
        </w:r>
        <w:r>
          <w:fldChar w:fldCharType="end"/>
        </w:r>
      </w:hyperlink>
    </w:p>
    <w:p w:rsidR="00CA5E7A" w:rsidRDefault="009716F2">
      <w:pPr>
        <w:pStyle w:val="24"/>
        <w:tabs>
          <w:tab w:val="left" w:pos="850"/>
        </w:tabs>
      </w:pPr>
      <w:hyperlink w:anchor="_Toc2" w:tooltip="#_Toc2" w:history="1">
        <w:r w:rsidR="00A36422">
          <w:t>1.1.</w:t>
        </w:r>
        <w:r w:rsidR="00A36422">
          <w:tab/>
        </w:r>
        <w:r w:rsidR="00A36422">
          <w:rPr>
            <w:rStyle w:val="aff"/>
          </w:rPr>
          <w:t>Используемые сокращения</w:t>
        </w:r>
        <w:r w:rsidR="00A36422">
          <w:tab/>
        </w:r>
        <w:r w:rsidR="00A36422">
          <w:fldChar w:fldCharType="begin"/>
        </w:r>
        <w:r w:rsidR="00A36422">
          <w:instrText>PAGEREF _Toc2 \h</w:instrText>
        </w:r>
        <w:r w:rsidR="00A36422">
          <w:fldChar w:fldCharType="separate"/>
        </w:r>
        <w:r w:rsidR="00A36422">
          <w:t>3</w:t>
        </w:r>
        <w:r w:rsidR="00A36422">
          <w:fldChar w:fldCharType="end"/>
        </w:r>
      </w:hyperlink>
    </w:p>
    <w:p w:rsidR="00CA5E7A" w:rsidRDefault="009716F2">
      <w:pPr>
        <w:pStyle w:val="24"/>
        <w:tabs>
          <w:tab w:val="left" w:pos="850"/>
        </w:tabs>
      </w:pPr>
      <w:hyperlink w:anchor="_Toc3" w:tooltip="#_Toc3" w:history="1">
        <w:r w:rsidR="00A36422">
          <w:t>1.2.</w:t>
        </w:r>
        <w:r w:rsidR="00A36422">
          <w:tab/>
        </w:r>
        <w:r w:rsidR="00A36422">
          <w:rPr>
            <w:rStyle w:val="aff"/>
          </w:rPr>
          <w:t>Термины и определения</w:t>
        </w:r>
        <w:r w:rsidR="00A36422">
          <w:tab/>
        </w:r>
        <w:r w:rsidR="00A36422">
          <w:fldChar w:fldCharType="begin"/>
        </w:r>
        <w:r w:rsidR="00A36422">
          <w:instrText>PAGEREF _Toc3 \h</w:instrText>
        </w:r>
        <w:r w:rsidR="00A36422">
          <w:fldChar w:fldCharType="separate"/>
        </w:r>
        <w:r w:rsidR="00A36422">
          <w:t>3</w:t>
        </w:r>
        <w:r w:rsidR="00A36422">
          <w:fldChar w:fldCharType="end"/>
        </w:r>
      </w:hyperlink>
    </w:p>
    <w:p w:rsidR="00CA5E7A" w:rsidRDefault="009716F2">
      <w:pPr>
        <w:pStyle w:val="24"/>
        <w:tabs>
          <w:tab w:val="left" w:pos="850"/>
        </w:tabs>
      </w:pPr>
      <w:hyperlink w:anchor="_Toc4" w:tooltip="#_Toc4" w:history="1">
        <w:r w:rsidR="00A36422">
          <w:t>1.3.</w:t>
        </w:r>
        <w:r w:rsidR="00A36422">
          <w:tab/>
        </w:r>
        <w:r w:rsidR="00A36422">
          <w:rPr>
            <w:rStyle w:val="aff"/>
          </w:rPr>
          <w:t>Цель и задачи Положения</w:t>
        </w:r>
        <w:r w:rsidR="00A36422">
          <w:tab/>
        </w:r>
        <w:r w:rsidR="00A36422">
          <w:fldChar w:fldCharType="begin"/>
        </w:r>
        <w:r w:rsidR="00A36422">
          <w:instrText>PAGEREF _Toc4 \h</w:instrText>
        </w:r>
        <w:r w:rsidR="00A36422">
          <w:fldChar w:fldCharType="separate"/>
        </w:r>
        <w:r w:rsidR="00A36422">
          <w:t>7</w:t>
        </w:r>
        <w:r w:rsidR="00A36422">
          <w:fldChar w:fldCharType="end"/>
        </w:r>
      </w:hyperlink>
    </w:p>
    <w:p w:rsidR="00CA5E7A" w:rsidRDefault="009716F2">
      <w:pPr>
        <w:pStyle w:val="24"/>
        <w:tabs>
          <w:tab w:val="left" w:pos="850"/>
        </w:tabs>
      </w:pPr>
      <w:hyperlink w:anchor="_Toc5" w:tooltip="#_Toc5" w:history="1">
        <w:r w:rsidR="00A36422">
          <w:t>1.4.</w:t>
        </w:r>
        <w:r w:rsidR="00A36422">
          <w:tab/>
        </w:r>
        <w:r w:rsidR="00A36422">
          <w:rPr>
            <w:rStyle w:val="aff"/>
          </w:rPr>
          <w:t>Нормативные документы</w:t>
        </w:r>
        <w:r w:rsidR="00A36422">
          <w:tab/>
        </w:r>
        <w:r w:rsidR="00A36422">
          <w:fldChar w:fldCharType="begin"/>
        </w:r>
        <w:r w:rsidR="00A36422">
          <w:instrText>PAGEREF _Toc5 \h</w:instrText>
        </w:r>
        <w:r w:rsidR="00A36422">
          <w:fldChar w:fldCharType="separate"/>
        </w:r>
        <w:r w:rsidR="00A36422">
          <w:t>8</w:t>
        </w:r>
        <w:r w:rsidR="00A36422">
          <w:fldChar w:fldCharType="end"/>
        </w:r>
      </w:hyperlink>
    </w:p>
    <w:p w:rsidR="00CA5E7A" w:rsidRDefault="009716F2">
      <w:pPr>
        <w:pStyle w:val="24"/>
        <w:tabs>
          <w:tab w:val="left" w:pos="850"/>
        </w:tabs>
      </w:pPr>
      <w:hyperlink w:anchor="_Toc6" w:tooltip="#_Toc6" w:history="1">
        <w:r w:rsidR="00A36422">
          <w:t>1.5.</w:t>
        </w:r>
        <w:r w:rsidR="00A36422">
          <w:tab/>
        </w:r>
        <w:r w:rsidR="00A36422">
          <w:rPr>
            <w:rStyle w:val="aff"/>
          </w:rPr>
          <w:t>Порядок изменения Положения</w:t>
        </w:r>
        <w:r w:rsidR="00A36422">
          <w:tab/>
        </w:r>
        <w:r w:rsidR="00A36422">
          <w:fldChar w:fldCharType="begin"/>
        </w:r>
        <w:r w:rsidR="00A36422">
          <w:instrText>PAGEREF _Toc6 \h</w:instrText>
        </w:r>
        <w:r w:rsidR="00A36422">
          <w:fldChar w:fldCharType="separate"/>
        </w:r>
        <w:r w:rsidR="00A36422">
          <w:t>8</w:t>
        </w:r>
        <w:r w:rsidR="00A36422">
          <w:fldChar w:fldCharType="end"/>
        </w:r>
      </w:hyperlink>
    </w:p>
    <w:p w:rsidR="00CA5E7A" w:rsidRDefault="009716F2">
      <w:pPr>
        <w:pStyle w:val="13"/>
        <w:tabs>
          <w:tab w:val="left" w:pos="567"/>
          <w:tab w:val="left" w:pos="850"/>
        </w:tabs>
      </w:pPr>
      <w:hyperlink w:anchor="_Toc7" w:tooltip="#_Toc7" w:history="1">
        <w:r w:rsidR="00A36422">
          <w:t>2.</w:t>
        </w:r>
        <w:r w:rsidR="00A36422">
          <w:tab/>
        </w:r>
        <w:r w:rsidR="00A36422">
          <w:rPr>
            <w:rStyle w:val="aff"/>
          </w:rPr>
          <w:t xml:space="preserve">Процесс управления валютным риском </w:t>
        </w:r>
        <w:r w:rsidR="00A36422">
          <w:tab/>
        </w:r>
        <w:r w:rsidR="00A36422">
          <w:fldChar w:fldCharType="begin"/>
        </w:r>
        <w:r w:rsidR="00A36422">
          <w:instrText>PAGEREF _Toc7 \h</w:instrText>
        </w:r>
        <w:r w:rsidR="00A36422">
          <w:fldChar w:fldCharType="separate"/>
        </w:r>
        <w:r w:rsidR="00A36422">
          <w:t>9</w:t>
        </w:r>
        <w:r w:rsidR="00A36422">
          <w:fldChar w:fldCharType="end"/>
        </w:r>
      </w:hyperlink>
    </w:p>
    <w:p w:rsidR="00CA5E7A" w:rsidRDefault="009716F2">
      <w:pPr>
        <w:pStyle w:val="24"/>
        <w:tabs>
          <w:tab w:val="left" w:pos="850"/>
        </w:tabs>
      </w:pPr>
      <w:hyperlink w:anchor="_Toc8" w:tooltip="#_Toc8" w:history="1">
        <w:r w:rsidR="00A36422">
          <w:t>2.1.</w:t>
        </w:r>
        <w:r w:rsidR="00A36422">
          <w:tab/>
        </w:r>
        <w:r w:rsidR="00A36422">
          <w:rPr>
            <w:rStyle w:val="aff"/>
          </w:rPr>
          <w:t>Цели и задачи управления валютным риском</w:t>
        </w:r>
        <w:r w:rsidR="00A36422">
          <w:tab/>
        </w:r>
        <w:r w:rsidR="00A36422">
          <w:fldChar w:fldCharType="begin"/>
        </w:r>
        <w:r w:rsidR="00A36422">
          <w:instrText>PAGEREF _Toc8 \h</w:instrText>
        </w:r>
        <w:r w:rsidR="00A36422">
          <w:fldChar w:fldCharType="separate"/>
        </w:r>
        <w:r w:rsidR="00A36422">
          <w:t>9</w:t>
        </w:r>
        <w:r w:rsidR="00A36422">
          <w:fldChar w:fldCharType="end"/>
        </w:r>
      </w:hyperlink>
    </w:p>
    <w:p w:rsidR="00CA5E7A" w:rsidRDefault="009716F2">
      <w:pPr>
        <w:pStyle w:val="24"/>
        <w:tabs>
          <w:tab w:val="left" w:pos="850"/>
        </w:tabs>
      </w:pPr>
      <w:hyperlink w:anchor="_Toc9" w:tooltip="#_Toc9" w:history="1">
        <w:r w:rsidR="00A36422">
          <w:t>2.2.</w:t>
        </w:r>
        <w:r w:rsidR="00A36422">
          <w:tab/>
        </w:r>
        <w:r w:rsidR="00A36422">
          <w:rPr>
            <w:rStyle w:val="aff"/>
          </w:rPr>
          <w:t>Принципы управления валютным риском</w:t>
        </w:r>
        <w:r w:rsidR="00A36422">
          <w:tab/>
        </w:r>
        <w:r w:rsidR="00A36422">
          <w:fldChar w:fldCharType="begin"/>
        </w:r>
        <w:r w:rsidR="00A36422">
          <w:instrText>PAGEREF _Toc9 \h</w:instrText>
        </w:r>
        <w:r w:rsidR="00A36422">
          <w:fldChar w:fldCharType="separate"/>
        </w:r>
        <w:r w:rsidR="00A36422">
          <w:t>9</w:t>
        </w:r>
        <w:r w:rsidR="00A36422">
          <w:fldChar w:fldCharType="end"/>
        </w:r>
      </w:hyperlink>
    </w:p>
    <w:p w:rsidR="00CA5E7A" w:rsidRDefault="009716F2">
      <w:pPr>
        <w:pStyle w:val="24"/>
        <w:tabs>
          <w:tab w:val="left" w:pos="850"/>
        </w:tabs>
      </w:pPr>
      <w:hyperlink w:anchor="_Toc10" w:tooltip="#_Toc10" w:history="1">
        <w:r w:rsidR="00A36422">
          <w:t>2.3.</w:t>
        </w:r>
        <w:r w:rsidR="00A36422">
          <w:tab/>
        </w:r>
        <w:r w:rsidR="00A36422">
          <w:rPr>
            <w:rStyle w:val="aff"/>
          </w:rPr>
          <w:t>Участники управления валютным риском. Распределение полномочий</w:t>
        </w:r>
        <w:r w:rsidR="00A36422">
          <w:tab/>
        </w:r>
        <w:r w:rsidR="00A36422">
          <w:fldChar w:fldCharType="begin"/>
        </w:r>
        <w:r w:rsidR="00A36422">
          <w:instrText>PAGEREF _Toc10 \h</w:instrText>
        </w:r>
        <w:r w:rsidR="00A36422">
          <w:fldChar w:fldCharType="separate"/>
        </w:r>
        <w:r w:rsidR="00A36422">
          <w:t>10</w:t>
        </w:r>
        <w:r w:rsidR="00A36422">
          <w:fldChar w:fldCharType="end"/>
        </w:r>
      </w:hyperlink>
    </w:p>
    <w:p w:rsidR="00CA5E7A" w:rsidRDefault="009716F2">
      <w:pPr>
        <w:pStyle w:val="13"/>
        <w:tabs>
          <w:tab w:val="left" w:pos="567"/>
          <w:tab w:val="left" w:pos="850"/>
        </w:tabs>
      </w:pPr>
      <w:hyperlink w:anchor="_Toc11" w:tooltip="#_Toc11" w:history="1">
        <w:r w:rsidR="00A36422">
          <w:t>3.</w:t>
        </w:r>
        <w:r w:rsidR="00A36422">
          <w:tab/>
        </w:r>
        <w:r w:rsidR="00A36422">
          <w:rPr>
            <w:rStyle w:val="aff"/>
          </w:rPr>
          <w:t xml:space="preserve">Компоненты управления валютным риском </w:t>
        </w:r>
        <w:r w:rsidR="00A36422">
          <w:tab/>
        </w:r>
        <w:r w:rsidR="00A36422">
          <w:fldChar w:fldCharType="begin"/>
        </w:r>
        <w:r w:rsidR="00A36422">
          <w:instrText>PAGEREF _Toc11 \h</w:instrText>
        </w:r>
        <w:r w:rsidR="00A36422">
          <w:fldChar w:fldCharType="separate"/>
        </w:r>
        <w:r w:rsidR="00A36422">
          <w:t>12</w:t>
        </w:r>
        <w:r w:rsidR="00A36422">
          <w:fldChar w:fldCharType="end"/>
        </w:r>
      </w:hyperlink>
    </w:p>
    <w:p w:rsidR="00CA5E7A" w:rsidRDefault="009716F2">
      <w:pPr>
        <w:pStyle w:val="24"/>
        <w:tabs>
          <w:tab w:val="left" w:pos="850"/>
        </w:tabs>
      </w:pPr>
      <w:hyperlink w:anchor="_Toc12" w:tooltip="#_Toc12" w:history="1">
        <w:r w:rsidR="00A36422">
          <w:t>3.1.</w:t>
        </w:r>
        <w:r w:rsidR="00A36422">
          <w:tab/>
        </w:r>
        <w:r w:rsidR="00A36422">
          <w:rPr>
            <w:rStyle w:val="aff"/>
          </w:rPr>
          <w:t xml:space="preserve">Постановка целей при управлении валютным риском </w:t>
        </w:r>
        <w:r w:rsidR="00A36422">
          <w:tab/>
        </w:r>
        <w:r w:rsidR="00A36422">
          <w:fldChar w:fldCharType="begin"/>
        </w:r>
        <w:r w:rsidR="00A36422">
          <w:instrText>PAGEREF _Toc12 \h</w:instrText>
        </w:r>
        <w:r w:rsidR="00A36422">
          <w:fldChar w:fldCharType="separate"/>
        </w:r>
        <w:r w:rsidR="00A36422">
          <w:t>12</w:t>
        </w:r>
        <w:r w:rsidR="00A36422">
          <w:fldChar w:fldCharType="end"/>
        </w:r>
      </w:hyperlink>
    </w:p>
    <w:p w:rsidR="00CA5E7A" w:rsidRDefault="009716F2">
      <w:pPr>
        <w:pStyle w:val="24"/>
      </w:pPr>
      <w:hyperlink w:anchor="_Toc13" w:tooltip="#_Toc13" w:history="1">
        <w:r w:rsidR="00A36422">
          <w:rPr>
            <w:rStyle w:val="aff"/>
          </w:rPr>
          <w:t>3.2. Идентификация валютного риска</w:t>
        </w:r>
        <w:r w:rsidR="00A36422">
          <w:tab/>
        </w:r>
        <w:r w:rsidR="00A36422">
          <w:fldChar w:fldCharType="begin"/>
        </w:r>
        <w:r w:rsidR="00A36422">
          <w:instrText>PAGEREF _Toc13 \h</w:instrText>
        </w:r>
        <w:r w:rsidR="00A36422">
          <w:fldChar w:fldCharType="separate"/>
        </w:r>
        <w:r w:rsidR="00A36422">
          <w:t>13</w:t>
        </w:r>
        <w:r w:rsidR="00A36422">
          <w:fldChar w:fldCharType="end"/>
        </w:r>
      </w:hyperlink>
    </w:p>
    <w:p w:rsidR="00CA5E7A" w:rsidRDefault="009716F2">
      <w:pPr>
        <w:pStyle w:val="24"/>
      </w:pPr>
      <w:hyperlink w:anchor="_Toc14" w:tooltip="#_Toc14" w:history="1">
        <w:r w:rsidR="00A36422">
          <w:rPr>
            <w:rStyle w:val="aff"/>
          </w:rPr>
          <w:t>3.3. Оценка валютного риска</w:t>
        </w:r>
        <w:r w:rsidR="00A36422">
          <w:tab/>
        </w:r>
        <w:r w:rsidR="00A36422">
          <w:fldChar w:fldCharType="begin"/>
        </w:r>
        <w:r w:rsidR="00A36422">
          <w:instrText>PAGEREF _Toc14 \h</w:instrText>
        </w:r>
        <w:r w:rsidR="00A36422">
          <w:fldChar w:fldCharType="separate"/>
        </w:r>
        <w:r w:rsidR="00A36422">
          <w:t>14</w:t>
        </w:r>
        <w:r w:rsidR="00A36422">
          <w:fldChar w:fldCharType="end"/>
        </w:r>
      </w:hyperlink>
    </w:p>
    <w:p w:rsidR="00CA5E7A" w:rsidRDefault="009716F2">
      <w:pPr>
        <w:pStyle w:val="24"/>
      </w:pPr>
      <w:hyperlink w:anchor="_Toc15" w:tooltip="#_Toc15" w:history="1">
        <w:r w:rsidR="00A36422">
          <w:rPr>
            <w:rStyle w:val="aff"/>
          </w:rPr>
          <w:t>3.4. Реагирование на валютный риск. Мероприятия по управлению валютным риском</w:t>
        </w:r>
        <w:r w:rsidR="00A36422">
          <w:t>.....................</w:t>
        </w:r>
        <w:r w:rsidR="00A36422">
          <w:tab/>
        </w:r>
        <w:r w:rsidR="00A36422">
          <w:fldChar w:fldCharType="begin"/>
        </w:r>
        <w:r w:rsidR="00A36422">
          <w:instrText>PAGEREF _Toc15 \h</w:instrText>
        </w:r>
        <w:r w:rsidR="00A36422">
          <w:fldChar w:fldCharType="separate"/>
        </w:r>
        <w:r w:rsidR="00A36422">
          <w:t>15</w:t>
        </w:r>
        <w:r w:rsidR="00A36422">
          <w:fldChar w:fldCharType="end"/>
        </w:r>
      </w:hyperlink>
    </w:p>
    <w:p w:rsidR="00CA5E7A" w:rsidRDefault="009716F2">
      <w:pPr>
        <w:pStyle w:val="24"/>
      </w:pPr>
      <w:hyperlink w:anchor="_Toc16" w:tooltip="#_Toc16" w:history="1">
        <w:r w:rsidR="00A36422">
          <w:rPr>
            <w:rStyle w:val="aff"/>
          </w:rPr>
          <w:t>3.5. Мониторинг валютного риска и мероприятий по управлению валютным риском</w:t>
        </w:r>
        <w:r w:rsidR="00A36422">
          <w:fldChar w:fldCharType="begin"/>
        </w:r>
        <w:r w:rsidR="00A36422">
          <w:instrText>PAGEREF _Toc16 \h</w:instrText>
        </w:r>
        <w:r w:rsidR="00A36422">
          <w:fldChar w:fldCharType="separate"/>
        </w:r>
        <w:r w:rsidR="00A36422">
          <w:t>.........................................................................................................................................16</w:t>
        </w:r>
        <w:r w:rsidR="00A36422">
          <w:fldChar w:fldCharType="end"/>
        </w:r>
      </w:hyperlink>
    </w:p>
    <w:p w:rsidR="00CA5E7A" w:rsidRDefault="009716F2">
      <w:pPr>
        <w:pStyle w:val="24"/>
      </w:pPr>
      <w:hyperlink w:anchor="_Toc17" w:tooltip="#_Toc17" w:history="1">
        <w:r w:rsidR="00A36422">
          <w:rPr>
            <w:rStyle w:val="aff"/>
          </w:rPr>
          <w:t xml:space="preserve">3.6. Отчетность и обмен информацией в рамках управления валютным риском </w:t>
        </w:r>
        <w:r w:rsidR="00A36422">
          <w:tab/>
        </w:r>
        <w:r w:rsidR="00A36422">
          <w:fldChar w:fldCharType="begin"/>
        </w:r>
        <w:r w:rsidR="00A36422">
          <w:instrText>PAGEREF _Toc17 \h</w:instrText>
        </w:r>
        <w:r w:rsidR="00A36422">
          <w:fldChar w:fldCharType="separate"/>
        </w:r>
        <w:r w:rsidR="00A36422">
          <w:t>17</w:t>
        </w:r>
        <w:r w:rsidR="00A36422">
          <w:fldChar w:fldCharType="end"/>
        </w:r>
      </w:hyperlink>
    </w:p>
    <w:p w:rsidR="00CA5E7A" w:rsidRDefault="009716F2">
      <w:pPr>
        <w:pStyle w:val="24"/>
        <w:tabs>
          <w:tab w:val="left" w:pos="850"/>
        </w:tabs>
      </w:pPr>
      <w:hyperlink w:anchor="_Toc18" w:tooltip="#_Toc18" w:history="1">
        <w:r w:rsidR="00A36422">
          <w:t>3.7.</w:t>
        </w:r>
        <w:r w:rsidR="00A36422">
          <w:tab/>
        </w:r>
        <w:r w:rsidR="00A36422">
          <w:rPr>
            <w:rStyle w:val="aff"/>
          </w:rPr>
          <w:t xml:space="preserve"> Оценка эффективности управления валютным риском </w:t>
        </w:r>
        <w:r w:rsidR="00A36422">
          <w:tab/>
        </w:r>
        <w:r w:rsidR="00A36422">
          <w:fldChar w:fldCharType="begin"/>
        </w:r>
        <w:r w:rsidR="00A36422">
          <w:instrText>PAGEREF _Toc18 \h</w:instrText>
        </w:r>
        <w:r w:rsidR="00A36422">
          <w:fldChar w:fldCharType="separate"/>
        </w:r>
        <w:r w:rsidR="00A36422">
          <w:t>18</w:t>
        </w:r>
        <w:r w:rsidR="00A36422">
          <w:fldChar w:fldCharType="end"/>
        </w:r>
      </w:hyperlink>
    </w:p>
    <w:p w:rsidR="00CA5E7A" w:rsidRDefault="009716F2">
      <w:pPr>
        <w:pStyle w:val="24"/>
        <w:tabs>
          <w:tab w:val="left" w:pos="850"/>
        </w:tabs>
      </w:pPr>
      <w:hyperlink w:anchor="_Toc19" w:tooltip="#_Toc19" w:history="1">
        <w:r w:rsidR="00A36422">
          <w:t>3.8.</w:t>
        </w:r>
        <w:r w:rsidR="00A36422">
          <w:tab/>
        </w:r>
        <w:r w:rsidR="00A36422">
          <w:rPr>
            <w:rStyle w:val="aff"/>
          </w:rPr>
          <w:t xml:space="preserve"> Вн</w:t>
        </w:r>
        <w:r w:rsidR="00A36422">
          <w:rPr>
            <w:rStyle w:val="aff"/>
            <w:lang w:bidi="ru-RU"/>
          </w:rPr>
          <w:t>утренний контроль управления валютным риском</w:t>
        </w:r>
        <w:r w:rsidR="00A36422">
          <w:tab/>
        </w:r>
        <w:r w:rsidR="00A36422">
          <w:fldChar w:fldCharType="begin"/>
        </w:r>
        <w:r w:rsidR="00A36422">
          <w:instrText>PAGEREF _Toc19 \h</w:instrText>
        </w:r>
        <w:r w:rsidR="00A36422">
          <w:fldChar w:fldCharType="separate"/>
        </w:r>
        <w:r w:rsidR="00A36422">
          <w:t>20</w:t>
        </w:r>
        <w:r w:rsidR="00A36422">
          <w:fldChar w:fldCharType="end"/>
        </w:r>
      </w:hyperlink>
    </w:p>
    <w:p w:rsidR="00CA5E7A" w:rsidRDefault="00A36422">
      <w:pPr>
        <w:tabs>
          <w:tab w:val="left" w:pos="567"/>
        </w:tabs>
        <w:ind w:firstLine="0"/>
      </w:pPr>
      <w:r>
        <w:rPr>
          <w:sz w:val="20"/>
          <w:szCs w:val="20"/>
        </w:rPr>
        <w:fldChar w:fldCharType="end"/>
      </w:r>
    </w:p>
    <w:p w:rsidR="00CA5E7A" w:rsidRDefault="00CA5E7A">
      <w:pPr>
        <w:pStyle w:val="afff"/>
      </w:pPr>
    </w:p>
    <w:p w:rsidR="00CA5E7A" w:rsidRDefault="00CA5E7A">
      <w:pPr>
        <w:pStyle w:val="10"/>
        <w:numPr>
          <w:ilvl w:val="0"/>
          <w:numId w:val="0"/>
        </w:numPr>
        <w:spacing w:before="120" w:after="120" w:line="240" w:lineRule="auto"/>
        <w:ind w:firstLine="709"/>
        <w:jc w:val="both"/>
        <w:sectPr w:rsidR="00CA5E7A">
          <w:headerReference w:type="default" r:id="rId10"/>
          <w:footerReference w:type="default" r:id="rId11"/>
          <w:pgSz w:w="11906" w:h="16838"/>
          <w:pgMar w:top="1134" w:right="851" w:bottom="1134" w:left="1418" w:header="709" w:footer="709" w:gutter="0"/>
          <w:pgNumType w:start="2"/>
          <w:cols w:space="708"/>
          <w:docGrid w:linePitch="360"/>
        </w:sectPr>
      </w:pPr>
    </w:p>
    <w:p w:rsidR="00CA5E7A" w:rsidRDefault="00A36422">
      <w:pPr>
        <w:pStyle w:val="10"/>
        <w:numPr>
          <w:ilvl w:val="0"/>
          <w:numId w:val="4"/>
        </w:numPr>
        <w:spacing w:before="240" w:after="120" w:line="240" w:lineRule="auto"/>
        <w:jc w:val="both"/>
      </w:pPr>
      <w:bookmarkStart w:id="1" w:name="_Toc1"/>
      <w:r>
        <w:lastRenderedPageBreak/>
        <w:t>Общие положения</w:t>
      </w:r>
      <w:bookmarkEnd w:id="1"/>
    </w:p>
    <w:p w:rsidR="00CA5E7A" w:rsidRDefault="00A36422">
      <w:pPr>
        <w:pStyle w:val="aff9"/>
      </w:pPr>
      <w:r>
        <w:t>В Положении по управлению валютным риском</w:t>
      </w:r>
      <w:r>
        <w:rPr>
          <w:bCs/>
        </w:rPr>
        <w:t xml:space="preserve"> ООО «Газпром межрегионгаз Уфа» </w:t>
      </w:r>
      <w:r>
        <w:t>(далее – Положение) используются сокращения, термины и определения, приведенные в пп. 1.1 и 1.2 Положения.</w:t>
      </w:r>
    </w:p>
    <w:p w:rsidR="00CA5E7A" w:rsidRDefault="00A36422">
      <w:pPr>
        <w:pStyle w:val="2"/>
        <w:numPr>
          <w:ilvl w:val="1"/>
          <w:numId w:val="4"/>
        </w:numPr>
        <w:spacing w:before="120"/>
        <w:ind w:left="0" w:firstLine="709"/>
        <w:jc w:val="both"/>
      </w:pPr>
      <w:bookmarkStart w:id="2" w:name="_Toc2"/>
      <w:r>
        <w:t>Используемые сокращения</w:t>
      </w:r>
      <w:bookmarkEnd w:id="2"/>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0"/>
        <w:gridCol w:w="6834"/>
      </w:tblGrid>
      <w:tr w:rsidR="00CA5E7A">
        <w:trPr>
          <w:cantSplit/>
          <w:tblHeader/>
          <w:jc w:val="center"/>
        </w:trPr>
        <w:tc>
          <w:tcPr>
            <w:tcW w:w="1412" w:type="pct"/>
            <w:vAlign w:val="center"/>
          </w:tcPr>
          <w:p w:rsidR="00CA5E7A" w:rsidRDefault="00A36422">
            <w:pPr>
              <w:ind w:firstLine="0"/>
              <w:jc w:val="center"/>
              <w:rPr>
                <w:b/>
                <w:bCs/>
                <w:sz w:val="28"/>
                <w:szCs w:val="28"/>
                <w:lang w:eastAsia="ru-RU"/>
              </w:rPr>
            </w:pPr>
            <w:r>
              <w:rPr>
                <w:b/>
                <w:bCs/>
                <w:sz w:val="28"/>
                <w:szCs w:val="28"/>
                <w:lang w:eastAsia="ru-RU"/>
              </w:rPr>
              <w:t>Сокращение</w:t>
            </w:r>
          </w:p>
        </w:tc>
        <w:tc>
          <w:tcPr>
            <w:tcW w:w="3588" w:type="pct"/>
            <w:vAlign w:val="center"/>
          </w:tcPr>
          <w:p w:rsidR="00CA5E7A" w:rsidRDefault="00A36422">
            <w:pPr>
              <w:ind w:firstLine="0"/>
              <w:jc w:val="center"/>
              <w:rPr>
                <w:b/>
                <w:bCs/>
                <w:sz w:val="28"/>
                <w:szCs w:val="28"/>
                <w:lang w:eastAsia="ru-RU"/>
              </w:rPr>
            </w:pPr>
            <w:r>
              <w:rPr>
                <w:b/>
                <w:bCs/>
                <w:sz w:val="28"/>
                <w:szCs w:val="28"/>
                <w:lang w:eastAsia="ru-RU"/>
              </w:rPr>
              <w:t>Полное название</w:t>
            </w:r>
          </w:p>
        </w:tc>
      </w:tr>
      <w:tr w:rsidR="00CA5E7A">
        <w:trPr>
          <w:cantSplit/>
          <w:jc w:val="center"/>
        </w:trPr>
        <w:tc>
          <w:tcPr>
            <w:tcW w:w="1412" w:type="pct"/>
          </w:tcPr>
          <w:p w:rsidR="00CA5E7A" w:rsidRDefault="00A36422">
            <w:pPr>
              <w:ind w:firstLine="0"/>
              <w:rPr>
                <w:sz w:val="28"/>
                <w:szCs w:val="28"/>
              </w:rPr>
            </w:pPr>
            <w:r>
              <w:rPr>
                <w:sz w:val="28"/>
                <w:szCs w:val="28"/>
                <w:lang w:eastAsia="ru-RU"/>
              </w:rPr>
              <w:t>Группа Газпром межрегионгаз</w:t>
            </w:r>
          </w:p>
        </w:tc>
        <w:tc>
          <w:tcPr>
            <w:tcW w:w="3588" w:type="pct"/>
          </w:tcPr>
          <w:p w:rsidR="00CA5E7A" w:rsidRDefault="00A36422">
            <w:pPr>
              <w:ind w:firstLine="0"/>
              <w:jc w:val="both"/>
              <w:rPr>
                <w:sz w:val="28"/>
                <w:szCs w:val="28"/>
              </w:rPr>
            </w:pPr>
            <w:r>
              <w:rPr>
                <w:sz w:val="28"/>
                <w:szCs w:val="28"/>
              </w:rPr>
              <w:t xml:space="preserve">ООО «Газпром межрегионгаз» и организации Группы Газпром межрегионгаз </w:t>
            </w:r>
          </w:p>
        </w:tc>
      </w:tr>
      <w:tr w:rsidR="00CA5E7A">
        <w:trPr>
          <w:cantSplit/>
          <w:jc w:val="center"/>
        </w:trPr>
        <w:tc>
          <w:tcPr>
            <w:tcW w:w="1412" w:type="pct"/>
          </w:tcPr>
          <w:p w:rsidR="00CA5E7A" w:rsidRDefault="00A36422">
            <w:pPr>
              <w:ind w:firstLine="0"/>
              <w:rPr>
                <w:sz w:val="28"/>
                <w:szCs w:val="28"/>
                <w:lang w:eastAsia="ru-RU"/>
              </w:rPr>
            </w:pPr>
            <w:r>
              <w:rPr>
                <w:sz w:val="28"/>
                <w:szCs w:val="28"/>
                <w:lang w:eastAsia="ru-RU"/>
              </w:rPr>
              <w:t>КИР</w:t>
            </w:r>
          </w:p>
        </w:tc>
        <w:tc>
          <w:tcPr>
            <w:tcW w:w="3588" w:type="pct"/>
          </w:tcPr>
          <w:p w:rsidR="00CA5E7A" w:rsidRDefault="00A36422">
            <w:pPr>
              <w:ind w:firstLine="0"/>
              <w:jc w:val="both"/>
              <w:rPr>
                <w:sz w:val="28"/>
                <w:szCs w:val="28"/>
              </w:rPr>
            </w:pPr>
            <w:r>
              <w:rPr>
                <w:sz w:val="28"/>
                <w:szCs w:val="28"/>
              </w:rPr>
              <w:t>Ключевые индикаторы риска</w:t>
            </w:r>
          </w:p>
        </w:tc>
      </w:tr>
      <w:tr w:rsidR="00CA5E7A">
        <w:trPr>
          <w:cantSplit/>
          <w:jc w:val="center"/>
        </w:trPr>
        <w:tc>
          <w:tcPr>
            <w:tcW w:w="1412" w:type="pct"/>
          </w:tcPr>
          <w:p w:rsidR="00CA5E7A" w:rsidRDefault="00A36422">
            <w:pPr>
              <w:ind w:firstLine="0"/>
              <w:rPr>
                <w:sz w:val="28"/>
                <w:szCs w:val="28"/>
                <w:lang w:eastAsia="ru-RU"/>
              </w:rPr>
            </w:pPr>
            <w:r>
              <w:rPr>
                <w:sz w:val="28"/>
                <w:szCs w:val="28"/>
                <w:lang w:eastAsia="ru-RU"/>
              </w:rPr>
              <w:t>МРГ</w:t>
            </w:r>
          </w:p>
        </w:tc>
        <w:tc>
          <w:tcPr>
            <w:tcW w:w="3588" w:type="pct"/>
          </w:tcPr>
          <w:p w:rsidR="00CA5E7A" w:rsidRDefault="00A36422">
            <w:pPr>
              <w:ind w:firstLine="0"/>
              <w:jc w:val="both"/>
              <w:rPr>
                <w:sz w:val="28"/>
                <w:szCs w:val="28"/>
              </w:rPr>
            </w:pPr>
            <w:r>
              <w:rPr>
                <w:sz w:val="28"/>
                <w:szCs w:val="28"/>
              </w:rPr>
              <w:t>ООО «Газпром межрегионгаз»</w:t>
            </w:r>
          </w:p>
        </w:tc>
      </w:tr>
      <w:tr w:rsidR="00CA5E7A">
        <w:trPr>
          <w:cantSplit/>
          <w:jc w:val="center"/>
        </w:trPr>
        <w:tc>
          <w:tcPr>
            <w:tcW w:w="1412" w:type="pct"/>
          </w:tcPr>
          <w:p w:rsidR="00CA5E7A" w:rsidRDefault="00A36422">
            <w:pPr>
              <w:ind w:firstLine="0"/>
              <w:rPr>
                <w:sz w:val="28"/>
                <w:szCs w:val="28"/>
              </w:rPr>
            </w:pPr>
            <w:r>
              <w:rPr>
                <w:sz w:val="28"/>
                <w:szCs w:val="28"/>
              </w:rPr>
              <w:t>Общество</w:t>
            </w:r>
          </w:p>
        </w:tc>
        <w:tc>
          <w:tcPr>
            <w:tcW w:w="3588" w:type="pct"/>
          </w:tcPr>
          <w:p w:rsidR="00CA5E7A" w:rsidRDefault="002839A6">
            <w:pPr>
              <w:ind w:firstLine="0"/>
              <w:jc w:val="both"/>
              <w:rPr>
                <w:sz w:val="28"/>
                <w:szCs w:val="28"/>
              </w:rPr>
            </w:pPr>
            <w:r>
              <w:rPr>
                <w:bCs/>
                <w:sz w:val="28"/>
                <w:szCs w:val="28"/>
              </w:rPr>
              <w:t>ПАО «Газпром газораспределение</w:t>
            </w:r>
            <w:r w:rsidR="00A36422">
              <w:rPr>
                <w:bCs/>
                <w:sz w:val="28"/>
                <w:szCs w:val="28"/>
              </w:rPr>
              <w:t xml:space="preserve"> Уфа»</w:t>
            </w:r>
          </w:p>
        </w:tc>
      </w:tr>
      <w:tr w:rsidR="00CA5E7A">
        <w:trPr>
          <w:cantSplit/>
          <w:jc w:val="center"/>
        </w:trPr>
        <w:tc>
          <w:tcPr>
            <w:tcW w:w="1412" w:type="pct"/>
          </w:tcPr>
          <w:p w:rsidR="00CA5E7A" w:rsidRDefault="00A36422">
            <w:pPr>
              <w:ind w:firstLine="0"/>
              <w:rPr>
                <w:sz w:val="28"/>
                <w:szCs w:val="28"/>
              </w:rPr>
            </w:pPr>
            <w:r>
              <w:rPr>
                <w:sz w:val="28"/>
                <w:szCs w:val="28"/>
              </w:rPr>
              <w:t>ОВП</w:t>
            </w:r>
          </w:p>
        </w:tc>
        <w:tc>
          <w:tcPr>
            <w:tcW w:w="3588" w:type="pct"/>
          </w:tcPr>
          <w:p w:rsidR="00CA5E7A" w:rsidRDefault="00A36422">
            <w:pPr>
              <w:ind w:firstLine="0"/>
              <w:jc w:val="both"/>
              <w:rPr>
                <w:sz w:val="28"/>
                <w:szCs w:val="28"/>
              </w:rPr>
            </w:pPr>
            <w:r>
              <w:rPr>
                <w:sz w:val="28"/>
                <w:szCs w:val="28"/>
              </w:rPr>
              <w:t>Открытая валютная позиция</w:t>
            </w:r>
          </w:p>
        </w:tc>
      </w:tr>
      <w:tr w:rsidR="00CA5E7A">
        <w:trPr>
          <w:cantSplit/>
          <w:jc w:val="center"/>
        </w:trPr>
        <w:tc>
          <w:tcPr>
            <w:tcW w:w="1412" w:type="pct"/>
          </w:tcPr>
          <w:p w:rsidR="00CA5E7A" w:rsidRDefault="00A36422">
            <w:pPr>
              <w:ind w:firstLine="0"/>
              <w:rPr>
                <w:sz w:val="28"/>
                <w:szCs w:val="28"/>
              </w:rPr>
            </w:pPr>
            <w:r>
              <w:rPr>
                <w:sz w:val="28"/>
                <w:szCs w:val="28"/>
              </w:rPr>
              <w:t>Политика</w:t>
            </w:r>
          </w:p>
        </w:tc>
        <w:tc>
          <w:tcPr>
            <w:tcW w:w="3588" w:type="pct"/>
          </w:tcPr>
          <w:p w:rsidR="00CA5E7A" w:rsidRDefault="00A36422">
            <w:pPr>
              <w:ind w:firstLine="0"/>
              <w:jc w:val="both"/>
              <w:rPr>
                <w:color w:val="000000"/>
                <w:sz w:val="28"/>
                <w:szCs w:val="28"/>
              </w:rPr>
            </w:pPr>
            <w:r>
              <w:rPr>
                <w:sz w:val="28"/>
                <w:szCs w:val="28"/>
                <w:lang w:eastAsia="ru-RU"/>
              </w:rPr>
              <w:t>Политика управления рисками и внутреннего контроля</w:t>
            </w:r>
            <w:r>
              <w:rPr>
                <w:sz w:val="28"/>
                <w:szCs w:val="28"/>
              </w:rPr>
              <w:t xml:space="preserve"> Общества </w:t>
            </w:r>
          </w:p>
        </w:tc>
      </w:tr>
      <w:tr w:rsidR="00CA5E7A">
        <w:trPr>
          <w:cantSplit/>
          <w:jc w:val="center"/>
        </w:trPr>
        <w:tc>
          <w:tcPr>
            <w:tcW w:w="1412" w:type="pct"/>
          </w:tcPr>
          <w:p w:rsidR="00CA5E7A" w:rsidRDefault="00A36422">
            <w:pPr>
              <w:ind w:firstLine="0"/>
              <w:rPr>
                <w:sz w:val="28"/>
                <w:szCs w:val="28"/>
              </w:rPr>
            </w:pPr>
            <w:r>
              <w:rPr>
                <w:sz w:val="28"/>
                <w:szCs w:val="28"/>
              </w:rPr>
              <w:t>ПУРиВК</w:t>
            </w:r>
          </w:p>
        </w:tc>
        <w:tc>
          <w:tcPr>
            <w:tcW w:w="3588" w:type="pct"/>
          </w:tcPr>
          <w:p w:rsidR="00CA5E7A" w:rsidRDefault="00A36422">
            <w:pPr>
              <w:ind w:firstLine="0"/>
              <w:jc w:val="both"/>
              <w:rPr>
                <w:sz w:val="28"/>
                <w:szCs w:val="28"/>
                <w:lang w:eastAsia="ru-RU"/>
              </w:rPr>
            </w:pPr>
            <w:r>
              <w:rPr>
                <w:color w:val="000000"/>
                <w:sz w:val="28"/>
                <w:szCs w:val="28"/>
              </w:rPr>
              <w:t xml:space="preserve">Подразделение по управлению рисками и внутреннему контролю </w:t>
            </w:r>
          </w:p>
        </w:tc>
      </w:tr>
      <w:tr w:rsidR="00CA5E7A">
        <w:trPr>
          <w:cantSplit/>
          <w:jc w:val="center"/>
        </w:trPr>
        <w:tc>
          <w:tcPr>
            <w:tcW w:w="1412" w:type="pct"/>
          </w:tcPr>
          <w:p w:rsidR="00CA5E7A" w:rsidRDefault="00A36422">
            <w:pPr>
              <w:ind w:firstLine="0"/>
              <w:rPr>
                <w:sz w:val="28"/>
                <w:szCs w:val="28"/>
              </w:rPr>
            </w:pPr>
            <w:r>
              <w:rPr>
                <w:sz w:val="28"/>
                <w:szCs w:val="28"/>
              </w:rPr>
              <w:t>ПФИ</w:t>
            </w:r>
          </w:p>
        </w:tc>
        <w:tc>
          <w:tcPr>
            <w:tcW w:w="3588" w:type="pct"/>
          </w:tcPr>
          <w:p w:rsidR="00CA5E7A" w:rsidRDefault="00A36422">
            <w:pPr>
              <w:ind w:firstLine="0"/>
              <w:jc w:val="both"/>
              <w:rPr>
                <w:color w:val="000000"/>
                <w:sz w:val="28"/>
                <w:szCs w:val="28"/>
              </w:rPr>
            </w:pPr>
            <w:r>
              <w:rPr>
                <w:sz w:val="28"/>
                <w:szCs w:val="28"/>
              </w:rPr>
              <w:t>Производный финансовый инструмент</w:t>
            </w:r>
          </w:p>
        </w:tc>
      </w:tr>
      <w:tr w:rsidR="00CA5E7A">
        <w:trPr>
          <w:cantSplit/>
          <w:jc w:val="center"/>
        </w:trPr>
        <w:tc>
          <w:tcPr>
            <w:tcW w:w="1412" w:type="pct"/>
          </w:tcPr>
          <w:p w:rsidR="00CA5E7A" w:rsidRDefault="00A36422">
            <w:pPr>
              <w:ind w:firstLine="0"/>
              <w:rPr>
                <w:sz w:val="28"/>
                <w:szCs w:val="28"/>
                <w:lang w:eastAsia="ru-RU"/>
              </w:rPr>
            </w:pPr>
            <w:r>
              <w:rPr>
                <w:sz w:val="28"/>
                <w:szCs w:val="28"/>
                <w:lang w:eastAsia="ru-RU"/>
              </w:rPr>
              <w:t>СУРиВК</w:t>
            </w:r>
          </w:p>
        </w:tc>
        <w:tc>
          <w:tcPr>
            <w:tcW w:w="3588" w:type="pct"/>
          </w:tcPr>
          <w:p w:rsidR="00CA5E7A" w:rsidRDefault="00A36422">
            <w:pPr>
              <w:ind w:firstLine="0"/>
              <w:jc w:val="both"/>
              <w:rPr>
                <w:sz w:val="28"/>
                <w:szCs w:val="28"/>
                <w:lang w:eastAsia="ru-RU"/>
              </w:rPr>
            </w:pPr>
            <w:r>
              <w:rPr>
                <w:sz w:val="28"/>
                <w:szCs w:val="28"/>
                <w:lang w:eastAsia="ru-RU"/>
              </w:rPr>
              <w:t>Система управления рисками и внутреннего контроля</w:t>
            </w:r>
          </w:p>
        </w:tc>
      </w:tr>
      <w:tr w:rsidR="00CA5E7A">
        <w:trPr>
          <w:cantSplit/>
          <w:jc w:val="center"/>
        </w:trPr>
        <w:tc>
          <w:tcPr>
            <w:tcW w:w="1412" w:type="pct"/>
          </w:tcPr>
          <w:p w:rsidR="00CA5E7A" w:rsidRDefault="00A36422">
            <w:pPr>
              <w:ind w:firstLine="0"/>
              <w:rPr>
                <w:sz w:val="28"/>
                <w:szCs w:val="28"/>
                <w:lang w:eastAsia="ru-RU"/>
              </w:rPr>
            </w:pPr>
            <w:r>
              <w:rPr>
                <w:sz w:val="28"/>
                <w:szCs w:val="28"/>
                <w:lang w:eastAsia="ru-RU"/>
              </w:rPr>
              <w:t>VaR</w:t>
            </w:r>
          </w:p>
        </w:tc>
        <w:tc>
          <w:tcPr>
            <w:tcW w:w="3588" w:type="pct"/>
          </w:tcPr>
          <w:p w:rsidR="00CA5E7A" w:rsidRDefault="00A36422">
            <w:pPr>
              <w:ind w:firstLine="0"/>
              <w:jc w:val="both"/>
              <w:rPr>
                <w:sz w:val="28"/>
                <w:szCs w:val="28"/>
                <w:lang w:eastAsia="ru-RU"/>
              </w:rPr>
            </w:pPr>
            <w:r>
              <w:rPr>
                <w:sz w:val="28"/>
                <w:szCs w:val="28"/>
                <w:lang w:eastAsia="ru-RU"/>
              </w:rPr>
              <w:t>Value-at-Risk (стоимость под риском)</w:t>
            </w:r>
          </w:p>
        </w:tc>
      </w:tr>
    </w:tbl>
    <w:p w:rsidR="00CA5E7A" w:rsidRDefault="00A36422">
      <w:pPr>
        <w:pStyle w:val="2"/>
        <w:numPr>
          <w:ilvl w:val="1"/>
          <w:numId w:val="4"/>
        </w:numPr>
        <w:spacing w:before="120"/>
        <w:ind w:left="0" w:firstLine="709"/>
        <w:jc w:val="both"/>
      </w:pPr>
      <w:bookmarkStart w:id="3" w:name="_Toc3"/>
      <w:r>
        <w:t>Термины и определения</w:t>
      </w:r>
      <w:bookmarkEnd w:id="3"/>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1"/>
        <w:gridCol w:w="6833"/>
      </w:tblGrid>
      <w:tr w:rsidR="00CA5E7A">
        <w:trPr>
          <w:cantSplit/>
          <w:tblHeader/>
          <w:jc w:val="center"/>
        </w:trPr>
        <w:tc>
          <w:tcPr>
            <w:tcW w:w="1413" w:type="pct"/>
          </w:tcPr>
          <w:p w:rsidR="00CA5E7A" w:rsidRDefault="00A36422">
            <w:pPr>
              <w:ind w:firstLine="0"/>
              <w:jc w:val="center"/>
              <w:rPr>
                <w:b/>
                <w:bCs/>
                <w:sz w:val="28"/>
                <w:szCs w:val="28"/>
              </w:rPr>
            </w:pPr>
            <w:r>
              <w:rPr>
                <w:b/>
                <w:bCs/>
                <w:sz w:val="28"/>
                <w:szCs w:val="28"/>
              </w:rPr>
              <w:t>Термин</w:t>
            </w:r>
          </w:p>
        </w:tc>
        <w:tc>
          <w:tcPr>
            <w:tcW w:w="3587" w:type="pct"/>
            <w:vAlign w:val="center"/>
          </w:tcPr>
          <w:p w:rsidR="00CA5E7A" w:rsidRDefault="00A36422">
            <w:pPr>
              <w:ind w:firstLine="0"/>
              <w:jc w:val="center"/>
              <w:rPr>
                <w:b/>
                <w:bCs/>
                <w:sz w:val="28"/>
                <w:szCs w:val="28"/>
              </w:rPr>
            </w:pPr>
            <w:r>
              <w:rPr>
                <w:b/>
                <w:bCs/>
                <w:sz w:val="28"/>
                <w:szCs w:val="28"/>
              </w:rPr>
              <w:t>Определение</w:t>
            </w:r>
          </w:p>
        </w:tc>
      </w:tr>
      <w:tr w:rsidR="00CA5E7A">
        <w:trPr>
          <w:cantSplit/>
          <w:jc w:val="center"/>
        </w:trPr>
        <w:tc>
          <w:tcPr>
            <w:tcW w:w="1413" w:type="pct"/>
          </w:tcPr>
          <w:p w:rsidR="00CA5E7A" w:rsidRDefault="00A36422">
            <w:pPr>
              <w:spacing w:line="238" w:lineRule="auto"/>
              <w:ind w:firstLine="0"/>
              <w:rPr>
                <w:sz w:val="28"/>
                <w:szCs w:val="28"/>
              </w:rPr>
            </w:pPr>
            <w:r>
              <w:rPr>
                <w:sz w:val="28"/>
                <w:szCs w:val="28"/>
              </w:rPr>
              <w:t>Валютно-процентный своп</w:t>
            </w:r>
          </w:p>
        </w:tc>
        <w:tc>
          <w:tcPr>
            <w:tcW w:w="3587" w:type="pct"/>
          </w:tcPr>
          <w:p w:rsidR="00CA5E7A" w:rsidRDefault="00A36422">
            <w:pPr>
              <w:spacing w:line="235" w:lineRule="auto"/>
              <w:ind w:firstLine="0"/>
              <w:jc w:val="both"/>
              <w:rPr>
                <w:spacing w:val="-6"/>
                <w:sz w:val="28"/>
                <w:szCs w:val="28"/>
              </w:rPr>
            </w:pPr>
            <w:r>
              <w:rPr>
                <w:spacing w:val="-6"/>
                <w:sz w:val="28"/>
                <w:szCs w:val="28"/>
              </w:rPr>
              <w:t>Производный финансовый инструмент в соответствии с которым стороны договора (соглашения) выплачивают друг другу денежные суммы и процентные ставки в разных валютах в определенные даты в течение срока действия договора (соглашения)</w:t>
            </w:r>
          </w:p>
        </w:tc>
      </w:tr>
      <w:tr w:rsidR="00CA5E7A">
        <w:trPr>
          <w:jc w:val="center"/>
        </w:trPr>
        <w:tc>
          <w:tcPr>
            <w:tcW w:w="1413" w:type="pct"/>
          </w:tcPr>
          <w:p w:rsidR="00CA5E7A" w:rsidRDefault="00A36422">
            <w:pPr>
              <w:spacing w:line="238" w:lineRule="auto"/>
              <w:ind w:firstLine="0"/>
              <w:rPr>
                <w:sz w:val="28"/>
                <w:szCs w:val="28"/>
              </w:rPr>
            </w:pPr>
            <w:r>
              <w:rPr>
                <w:sz w:val="28"/>
                <w:szCs w:val="28"/>
              </w:rPr>
              <w:t>Валютный риск (рыночный валютный риск)</w:t>
            </w:r>
          </w:p>
        </w:tc>
        <w:tc>
          <w:tcPr>
            <w:tcW w:w="3587" w:type="pct"/>
          </w:tcPr>
          <w:p w:rsidR="00CA5E7A" w:rsidRDefault="00A36422">
            <w:pPr>
              <w:spacing w:line="235" w:lineRule="auto"/>
              <w:ind w:firstLine="0"/>
              <w:jc w:val="both"/>
            </w:pPr>
            <w:r>
              <w:rPr>
                <w:sz w:val="28"/>
                <w:szCs w:val="28"/>
              </w:rPr>
              <w:t>Риск возникновения убытков Общества вследствие изменения курсов иностранных валют</w:t>
            </w:r>
          </w:p>
        </w:tc>
      </w:tr>
      <w:tr w:rsidR="00CA5E7A">
        <w:trPr>
          <w:jc w:val="center"/>
        </w:trPr>
        <w:tc>
          <w:tcPr>
            <w:tcW w:w="1413" w:type="pct"/>
          </w:tcPr>
          <w:p w:rsidR="00CA5E7A" w:rsidRDefault="00A36422">
            <w:pPr>
              <w:spacing w:line="238" w:lineRule="auto"/>
              <w:ind w:firstLine="0"/>
              <w:rPr>
                <w:sz w:val="28"/>
                <w:szCs w:val="28"/>
              </w:rPr>
            </w:pPr>
            <w:r>
              <w:rPr>
                <w:sz w:val="28"/>
                <w:szCs w:val="28"/>
              </w:rPr>
              <w:t>Валютный форвард</w:t>
            </w:r>
          </w:p>
        </w:tc>
        <w:tc>
          <w:tcPr>
            <w:tcW w:w="3587" w:type="pct"/>
          </w:tcPr>
          <w:p w:rsidR="00CA5E7A" w:rsidRDefault="00A36422">
            <w:pPr>
              <w:spacing w:line="235" w:lineRule="auto"/>
              <w:ind w:firstLine="0"/>
              <w:jc w:val="both"/>
              <w:rPr>
                <w:sz w:val="28"/>
                <w:szCs w:val="28"/>
              </w:rPr>
            </w:pPr>
            <w:r>
              <w:rPr>
                <w:sz w:val="28"/>
                <w:szCs w:val="28"/>
              </w:rPr>
              <w:t xml:space="preserve">Внебиржевой производный финансовый инструмент, по </w:t>
            </w:r>
            <w:r>
              <w:rPr>
                <w:spacing w:val="-6"/>
                <w:sz w:val="28"/>
                <w:szCs w:val="28"/>
              </w:rPr>
              <w:t>которому одна сторона (продавец) обязуется передать базовый актив (иностранную валюту) другой стороне (покупателю), а покупатель обязуется принять и оплатить базовый актив российскими рублями или в иностранной валюте</w:t>
            </w:r>
          </w:p>
        </w:tc>
      </w:tr>
      <w:tr w:rsidR="00CA5E7A">
        <w:trPr>
          <w:jc w:val="center"/>
        </w:trPr>
        <w:tc>
          <w:tcPr>
            <w:tcW w:w="1413" w:type="pct"/>
          </w:tcPr>
          <w:p w:rsidR="00CA5E7A" w:rsidRDefault="00A36422">
            <w:pPr>
              <w:ind w:firstLine="0"/>
              <w:rPr>
                <w:sz w:val="28"/>
                <w:szCs w:val="28"/>
              </w:rPr>
            </w:pPr>
            <w:r>
              <w:rPr>
                <w:sz w:val="28"/>
                <w:szCs w:val="28"/>
              </w:rPr>
              <w:t>Владелец валютного риска</w:t>
            </w:r>
          </w:p>
        </w:tc>
        <w:tc>
          <w:tcPr>
            <w:tcW w:w="3587" w:type="pct"/>
          </w:tcPr>
          <w:p w:rsidR="00CA5E7A" w:rsidRDefault="00A36422">
            <w:pPr>
              <w:ind w:firstLine="0"/>
              <w:jc w:val="both"/>
              <w:rPr>
                <w:sz w:val="28"/>
                <w:szCs w:val="28"/>
              </w:rPr>
            </w:pPr>
            <w:r>
              <w:rPr>
                <w:sz w:val="28"/>
                <w:szCs w:val="28"/>
              </w:rPr>
              <w:t xml:space="preserve">Структурное подразделение Общества, функционирование которого непосредственно связано с возникновением валютного риска, ответственное за актуализацию сведений о валютном риске, разработку, реализацию и мониторинг исполнения мероприятий по управлению валютным риском </w:t>
            </w:r>
          </w:p>
        </w:tc>
      </w:tr>
      <w:tr w:rsidR="00CA5E7A">
        <w:trPr>
          <w:jc w:val="center"/>
        </w:trPr>
        <w:tc>
          <w:tcPr>
            <w:tcW w:w="1413" w:type="pct"/>
          </w:tcPr>
          <w:p w:rsidR="00CA5E7A" w:rsidRDefault="00A36422">
            <w:pPr>
              <w:ind w:firstLine="0"/>
              <w:rPr>
                <w:sz w:val="28"/>
                <w:szCs w:val="28"/>
                <w:lang w:eastAsia="ru-RU"/>
              </w:rPr>
            </w:pPr>
            <w:r>
              <w:rPr>
                <w:sz w:val="28"/>
                <w:szCs w:val="28"/>
              </w:rPr>
              <w:lastRenderedPageBreak/>
              <w:t>Допустимый уровень валютного риска</w:t>
            </w:r>
          </w:p>
        </w:tc>
        <w:tc>
          <w:tcPr>
            <w:tcW w:w="3587" w:type="pct"/>
          </w:tcPr>
          <w:p w:rsidR="00CA5E7A" w:rsidRDefault="00A36422">
            <w:pPr>
              <w:ind w:firstLine="0"/>
              <w:jc w:val="both"/>
              <w:rPr>
                <w:sz w:val="28"/>
                <w:szCs w:val="28"/>
                <w:lang w:eastAsia="ru-RU"/>
              </w:rPr>
            </w:pPr>
            <w:r>
              <w:rPr>
                <w:sz w:val="28"/>
                <w:szCs w:val="28"/>
              </w:rPr>
              <w:t>Уровень валютного риска, который органы управления Общества считают приемлемым и в результате реализации которого отклонение от поставленной цели не превысит установленный уровень</w:t>
            </w:r>
          </w:p>
        </w:tc>
      </w:tr>
      <w:tr w:rsidR="00CA5E7A">
        <w:trPr>
          <w:jc w:val="center"/>
        </w:trPr>
        <w:tc>
          <w:tcPr>
            <w:tcW w:w="1413" w:type="pct"/>
          </w:tcPr>
          <w:p w:rsidR="00CA5E7A" w:rsidRDefault="00A36422">
            <w:pPr>
              <w:ind w:firstLine="0"/>
              <w:rPr>
                <w:sz w:val="28"/>
                <w:szCs w:val="28"/>
              </w:rPr>
            </w:pPr>
            <w:r>
              <w:rPr>
                <w:sz w:val="28"/>
                <w:szCs w:val="28"/>
                <w:lang w:eastAsia="ru-RU"/>
              </w:rPr>
              <w:t>Единое казначейство Группы Газпром (Единое казначейство)</w:t>
            </w:r>
          </w:p>
        </w:tc>
        <w:tc>
          <w:tcPr>
            <w:tcW w:w="3587" w:type="pct"/>
          </w:tcPr>
          <w:p w:rsidR="00CA5E7A" w:rsidRDefault="00A36422">
            <w:pPr>
              <w:ind w:firstLine="0"/>
              <w:jc w:val="both"/>
              <w:rPr>
                <w:sz w:val="28"/>
                <w:szCs w:val="28"/>
              </w:rPr>
            </w:pPr>
            <w:r>
              <w:rPr>
                <w:sz w:val="28"/>
                <w:szCs w:val="28"/>
                <w:lang w:eastAsia="ru-RU"/>
              </w:rPr>
              <w:t>Структура Группы Газпром, состоящая из структурных подразделений администрации ПАО «Газпром» (Департамента 839, Департамента 816, Департамента 918, Управления 855), Финансового комитета ПАО «Газпром» и Единого расчетного центра, обеспечивающая реализацию основных функций Единого казначейства</w:t>
            </w:r>
          </w:p>
        </w:tc>
      </w:tr>
      <w:tr w:rsidR="00CA5E7A">
        <w:trPr>
          <w:jc w:val="center"/>
        </w:trPr>
        <w:tc>
          <w:tcPr>
            <w:tcW w:w="1413" w:type="pct"/>
          </w:tcPr>
          <w:p w:rsidR="00CA5E7A" w:rsidRDefault="00A36422">
            <w:pPr>
              <w:ind w:firstLine="0"/>
              <w:rPr>
                <w:sz w:val="28"/>
                <w:szCs w:val="28"/>
              </w:rPr>
            </w:pPr>
            <w:r>
              <w:rPr>
                <w:sz w:val="28"/>
                <w:szCs w:val="28"/>
              </w:rPr>
              <w:t>Идентификация валютного риска</w:t>
            </w:r>
          </w:p>
        </w:tc>
        <w:tc>
          <w:tcPr>
            <w:tcW w:w="3587" w:type="pct"/>
          </w:tcPr>
          <w:p w:rsidR="00CA5E7A" w:rsidRDefault="00A36422">
            <w:pPr>
              <w:ind w:firstLine="0"/>
              <w:jc w:val="both"/>
              <w:rPr>
                <w:sz w:val="28"/>
                <w:szCs w:val="28"/>
              </w:rPr>
            </w:pPr>
            <w:r>
              <w:rPr>
                <w:sz w:val="28"/>
                <w:szCs w:val="28"/>
              </w:rPr>
              <w:t xml:space="preserve">Процесс установления источников валютного риска, событий, приводящих к реализации угроз его возникновения, исследование их причин и описание возможных последствий </w:t>
            </w:r>
          </w:p>
        </w:tc>
      </w:tr>
      <w:tr w:rsidR="00CA5E7A">
        <w:trPr>
          <w:jc w:val="center"/>
        </w:trPr>
        <w:tc>
          <w:tcPr>
            <w:tcW w:w="1413" w:type="pct"/>
          </w:tcPr>
          <w:p w:rsidR="00CA5E7A" w:rsidRDefault="00A36422">
            <w:pPr>
              <w:ind w:firstLine="0"/>
              <w:rPr>
                <w:sz w:val="28"/>
                <w:szCs w:val="28"/>
                <w:highlight w:val="yellow"/>
              </w:rPr>
            </w:pPr>
            <w:r>
              <w:rPr>
                <w:sz w:val="28"/>
                <w:szCs w:val="28"/>
              </w:rPr>
              <w:t xml:space="preserve">Ключевые индикаторы валютного риска </w:t>
            </w:r>
          </w:p>
        </w:tc>
        <w:tc>
          <w:tcPr>
            <w:tcW w:w="3587" w:type="pct"/>
            <w:vAlign w:val="center"/>
          </w:tcPr>
          <w:p w:rsidR="00CA5E7A" w:rsidRDefault="00A36422">
            <w:pPr>
              <w:ind w:firstLine="0"/>
              <w:jc w:val="both"/>
              <w:rPr>
                <w:sz w:val="28"/>
                <w:szCs w:val="28"/>
              </w:rPr>
            </w:pPr>
            <w:r>
              <w:rPr>
                <w:sz w:val="28"/>
                <w:szCs w:val="28"/>
              </w:rPr>
              <w:t>Количественные показатели, используемые для обеспечения раннего предупреждения об изменении уровня валютного риска, сопоставление и регулярный мониторинг которых позволяют прогнозировать динамику уровня валютного риска и своевременно принимать меры для его поддержания на допустимом (приемлемом) уровне</w:t>
            </w:r>
          </w:p>
        </w:tc>
      </w:tr>
      <w:tr w:rsidR="00CA5E7A">
        <w:trPr>
          <w:jc w:val="center"/>
        </w:trPr>
        <w:tc>
          <w:tcPr>
            <w:tcW w:w="1413" w:type="pct"/>
          </w:tcPr>
          <w:p w:rsidR="00CA5E7A" w:rsidRDefault="00A36422">
            <w:pPr>
              <w:ind w:firstLine="0"/>
              <w:rPr>
                <w:sz w:val="28"/>
                <w:szCs w:val="28"/>
              </w:rPr>
            </w:pPr>
            <w:r>
              <w:rPr>
                <w:sz w:val="28"/>
                <w:szCs w:val="28"/>
              </w:rPr>
              <w:t xml:space="preserve">Коллегиальный орган </w:t>
            </w:r>
          </w:p>
        </w:tc>
        <w:tc>
          <w:tcPr>
            <w:tcW w:w="3587" w:type="pct"/>
            <w:vAlign w:val="center"/>
          </w:tcPr>
          <w:p w:rsidR="00CA5E7A" w:rsidRDefault="00A36422">
            <w:pPr>
              <w:ind w:firstLine="0"/>
              <w:jc w:val="both"/>
              <w:rPr>
                <w:sz w:val="28"/>
                <w:szCs w:val="28"/>
              </w:rPr>
            </w:pPr>
            <w:r>
              <w:rPr>
                <w:sz w:val="28"/>
                <w:szCs w:val="28"/>
              </w:rPr>
              <w:t>Постоянно действующий комитет ПАО «Газпром», осуществляющий функции, предусмотренные Положением по управлению валютным риском</w:t>
            </w:r>
            <w:r>
              <w:rPr>
                <w:sz w:val="28"/>
                <w:szCs w:val="28"/>
                <w:lang w:eastAsia="ru-RU"/>
              </w:rPr>
              <w:t xml:space="preserve"> Группы Газпром</w:t>
            </w:r>
          </w:p>
        </w:tc>
      </w:tr>
      <w:tr w:rsidR="00CA5E7A">
        <w:trPr>
          <w:jc w:val="center"/>
        </w:trPr>
        <w:tc>
          <w:tcPr>
            <w:tcW w:w="1413" w:type="pct"/>
          </w:tcPr>
          <w:p w:rsidR="00CA5E7A" w:rsidRDefault="00A36422">
            <w:pPr>
              <w:ind w:firstLine="0"/>
              <w:rPr>
                <w:sz w:val="28"/>
                <w:szCs w:val="28"/>
              </w:rPr>
            </w:pPr>
            <w:r>
              <w:rPr>
                <w:sz w:val="28"/>
                <w:szCs w:val="28"/>
              </w:rPr>
              <w:t>Лимиты валютного риска</w:t>
            </w:r>
          </w:p>
        </w:tc>
        <w:tc>
          <w:tcPr>
            <w:tcW w:w="3587" w:type="pct"/>
            <w:vAlign w:val="center"/>
          </w:tcPr>
          <w:p w:rsidR="00CA5E7A" w:rsidRDefault="00A36422">
            <w:pPr>
              <w:ind w:firstLine="0"/>
              <w:jc w:val="both"/>
              <w:rPr>
                <w:sz w:val="28"/>
                <w:szCs w:val="28"/>
              </w:rPr>
            </w:pPr>
            <w:r>
              <w:rPr>
                <w:sz w:val="28"/>
                <w:szCs w:val="28"/>
              </w:rPr>
              <w:t xml:space="preserve">Взаимосвязанная иерархическая совокупность показателей, ограничивающих полномочия владельца (совладельцев) валютного риска </w:t>
            </w:r>
            <w:r>
              <w:rPr>
                <w:sz w:val="28"/>
                <w:szCs w:val="28"/>
                <w:lang w:eastAsia="ru-RU"/>
              </w:rPr>
              <w:t>по принятию валютного риска</w:t>
            </w:r>
            <w:r>
              <w:rPr>
                <w:sz w:val="28"/>
                <w:szCs w:val="28"/>
              </w:rPr>
              <w:t>, обеспечивающая условия, при которых уровень валютного риска не превышает величину предельно допустимого уровня валютного риска</w:t>
            </w:r>
          </w:p>
        </w:tc>
      </w:tr>
      <w:tr w:rsidR="00CA5E7A">
        <w:trPr>
          <w:jc w:val="center"/>
        </w:trPr>
        <w:tc>
          <w:tcPr>
            <w:tcW w:w="1413" w:type="pct"/>
          </w:tcPr>
          <w:p w:rsidR="00CA5E7A" w:rsidRDefault="00A36422">
            <w:pPr>
              <w:ind w:firstLine="0"/>
              <w:rPr>
                <w:sz w:val="28"/>
                <w:szCs w:val="28"/>
              </w:rPr>
            </w:pPr>
            <w:r>
              <w:rPr>
                <w:sz w:val="28"/>
                <w:szCs w:val="28"/>
              </w:rPr>
              <w:t>Мероприятия по управлению валютным риском</w:t>
            </w:r>
          </w:p>
        </w:tc>
        <w:tc>
          <w:tcPr>
            <w:tcW w:w="3587" w:type="pct"/>
            <w:vAlign w:val="center"/>
          </w:tcPr>
          <w:p w:rsidR="00CA5E7A" w:rsidRDefault="00A36422">
            <w:pPr>
              <w:ind w:firstLine="0"/>
              <w:jc w:val="both"/>
              <w:rPr>
                <w:sz w:val="28"/>
                <w:szCs w:val="28"/>
              </w:rPr>
            </w:pPr>
            <w:r>
              <w:rPr>
                <w:sz w:val="28"/>
                <w:szCs w:val="28"/>
                <w:lang w:eastAsia="ru-RU"/>
              </w:rPr>
              <w:t>Совокупность действий по реализации способов реагирования на валютный риск, осуществляемых с целью обеспечения достаточной уверенности в том, что остаточный уровень валютного риска не превышает предельно допустимый уровень валютного риска</w:t>
            </w:r>
          </w:p>
        </w:tc>
      </w:tr>
      <w:tr w:rsidR="00CA5E7A">
        <w:trPr>
          <w:jc w:val="center"/>
        </w:trPr>
        <w:tc>
          <w:tcPr>
            <w:tcW w:w="1413" w:type="pct"/>
          </w:tcPr>
          <w:p w:rsidR="00CA5E7A" w:rsidRDefault="00A36422">
            <w:pPr>
              <w:ind w:firstLine="0"/>
              <w:rPr>
                <w:sz w:val="28"/>
                <w:szCs w:val="28"/>
              </w:rPr>
            </w:pPr>
            <w:r>
              <w:rPr>
                <w:sz w:val="28"/>
                <w:szCs w:val="28"/>
              </w:rPr>
              <w:t>Операции хеджирования</w:t>
            </w:r>
          </w:p>
        </w:tc>
        <w:tc>
          <w:tcPr>
            <w:tcW w:w="3587" w:type="pct"/>
            <w:vAlign w:val="center"/>
          </w:tcPr>
          <w:p w:rsidR="00CA5E7A" w:rsidRDefault="00A36422">
            <w:pPr>
              <w:ind w:firstLine="0"/>
              <w:jc w:val="both"/>
              <w:rPr>
                <w:spacing w:val="-6"/>
                <w:sz w:val="28"/>
              </w:rPr>
            </w:pPr>
            <w:r>
              <w:rPr>
                <w:spacing w:val="-6"/>
                <w:sz w:val="28"/>
              </w:rPr>
              <w:t xml:space="preserve">Операции (совокупность операций) с производными финансовыми инструментами (в том числе разных видов), совершаемые в целях уменьшения (компенсации) неблагоприятных для налогоплательщика последствий (полностью или частично), обусловленных </w:t>
            </w:r>
            <w:r>
              <w:rPr>
                <w:spacing w:val="-6"/>
                <w:sz w:val="28"/>
              </w:rPr>
              <w:lastRenderedPageBreak/>
              <w:t>возникновением убытка, недополучением прибыли, уменьшением выручки, уменьшением рыночной стоимости имущества, включая имущественные права (права требования), увеличением обязательств налогоплательщика вследствие изменения цены, процентной ставки, валютного курса, в том числе курса иностранной валюты к валюте Российской Федерации, или иного показателя (совокупности показателей) объекта (объектов) хеджирования</w:t>
            </w:r>
          </w:p>
        </w:tc>
      </w:tr>
      <w:tr w:rsidR="00CA5E7A">
        <w:trPr>
          <w:jc w:val="center"/>
        </w:trPr>
        <w:tc>
          <w:tcPr>
            <w:tcW w:w="1413" w:type="pct"/>
          </w:tcPr>
          <w:p w:rsidR="00CA5E7A" w:rsidRDefault="00A36422">
            <w:pPr>
              <w:ind w:firstLine="0"/>
              <w:rPr>
                <w:sz w:val="28"/>
                <w:szCs w:val="28"/>
              </w:rPr>
            </w:pPr>
            <w:r>
              <w:rPr>
                <w:color w:val="000000"/>
                <w:spacing w:val="-4"/>
                <w:sz w:val="28"/>
                <w:szCs w:val="28"/>
              </w:rPr>
              <w:lastRenderedPageBreak/>
              <w:t xml:space="preserve">Орган управления Общества </w:t>
            </w:r>
          </w:p>
        </w:tc>
        <w:tc>
          <w:tcPr>
            <w:tcW w:w="3587" w:type="pct"/>
          </w:tcPr>
          <w:p w:rsidR="00CA5E7A" w:rsidRDefault="00A36422">
            <w:pPr>
              <w:ind w:firstLine="0"/>
              <w:jc w:val="both"/>
              <w:rPr>
                <w:sz w:val="28"/>
                <w:szCs w:val="28"/>
                <w:lang w:eastAsia="ru-RU"/>
              </w:rPr>
            </w:pPr>
            <w:r>
              <w:rPr>
                <w:spacing w:val="-6"/>
                <w:sz w:val="28"/>
                <w:szCs w:val="28"/>
              </w:rPr>
              <w:t>Лицо или совокупность лиц Общества, которые в соответствии с </w:t>
            </w:r>
            <w:hyperlink r:id="rId12" w:tooltip="Законодательство" w:history="1">
              <w:r>
                <w:rPr>
                  <w:spacing w:val="-6"/>
                  <w:sz w:val="28"/>
                  <w:szCs w:val="28"/>
                </w:rPr>
                <w:t>законодательством</w:t>
              </w:r>
            </w:hyperlink>
            <w:r>
              <w:rPr>
                <w:spacing w:val="-6"/>
                <w:sz w:val="28"/>
                <w:szCs w:val="28"/>
              </w:rPr>
              <w:t>, учредительными документами Общества либо решением уполномоченного на то органа Общества наделены определенными полномочиями в отношении Общества и через которых Общество осуществляет свою деятельность</w:t>
            </w:r>
          </w:p>
        </w:tc>
      </w:tr>
      <w:tr w:rsidR="00CA5E7A">
        <w:trPr>
          <w:jc w:val="center"/>
        </w:trPr>
        <w:tc>
          <w:tcPr>
            <w:tcW w:w="1413" w:type="pct"/>
          </w:tcPr>
          <w:p w:rsidR="00CA5E7A" w:rsidRDefault="00A36422">
            <w:pPr>
              <w:ind w:firstLine="0"/>
              <w:rPr>
                <w:sz w:val="28"/>
                <w:szCs w:val="28"/>
                <w:lang w:eastAsia="ru-RU"/>
              </w:rPr>
            </w:pPr>
            <w:r>
              <w:rPr>
                <w:sz w:val="28"/>
                <w:szCs w:val="28"/>
              </w:rPr>
              <w:t xml:space="preserve">Открытая валютная позиция </w:t>
            </w:r>
          </w:p>
        </w:tc>
        <w:tc>
          <w:tcPr>
            <w:tcW w:w="3587" w:type="pct"/>
            <w:vAlign w:val="center"/>
          </w:tcPr>
          <w:p w:rsidR="00CA5E7A" w:rsidRDefault="00A36422">
            <w:pPr>
              <w:ind w:firstLine="0"/>
              <w:jc w:val="both"/>
              <w:rPr>
                <w:sz w:val="28"/>
                <w:szCs w:val="28"/>
                <w:lang w:eastAsia="ru-RU"/>
              </w:rPr>
            </w:pPr>
            <w:r>
              <w:rPr>
                <w:sz w:val="28"/>
                <w:szCs w:val="28"/>
              </w:rPr>
              <w:t>Несоответствие активов и пассивов в иностранной валюте</w:t>
            </w:r>
          </w:p>
        </w:tc>
      </w:tr>
      <w:tr w:rsidR="00CA5E7A">
        <w:trPr>
          <w:jc w:val="center"/>
        </w:trPr>
        <w:tc>
          <w:tcPr>
            <w:tcW w:w="1413" w:type="pct"/>
          </w:tcPr>
          <w:p w:rsidR="00CA5E7A" w:rsidRDefault="00A36422">
            <w:pPr>
              <w:keepNext/>
              <w:keepLines/>
              <w:ind w:firstLine="0"/>
              <w:rPr>
                <w:sz w:val="28"/>
                <w:szCs w:val="28"/>
              </w:rPr>
            </w:pPr>
            <w:r>
              <w:rPr>
                <w:sz w:val="28"/>
                <w:szCs w:val="28"/>
              </w:rPr>
              <w:t>Подверженность валютному риску</w:t>
            </w:r>
          </w:p>
        </w:tc>
        <w:tc>
          <w:tcPr>
            <w:tcW w:w="3587" w:type="pct"/>
            <w:vAlign w:val="center"/>
          </w:tcPr>
          <w:p w:rsidR="00CA5E7A" w:rsidRDefault="00A36422">
            <w:pPr>
              <w:keepNext/>
              <w:keepLines/>
              <w:ind w:firstLine="0"/>
              <w:jc w:val="both"/>
              <w:rPr>
                <w:sz w:val="28"/>
                <w:szCs w:val="28"/>
              </w:rPr>
            </w:pPr>
            <w:r>
              <w:rPr>
                <w:sz w:val="28"/>
                <w:szCs w:val="28"/>
              </w:rPr>
              <w:t>Величина потерь в результате реализации валютного риска</w:t>
            </w:r>
          </w:p>
        </w:tc>
      </w:tr>
      <w:tr w:rsidR="00CA5E7A">
        <w:trPr>
          <w:jc w:val="center"/>
        </w:trPr>
        <w:tc>
          <w:tcPr>
            <w:tcW w:w="1413" w:type="pct"/>
          </w:tcPr>
          <w:p w:rsidR="00CA5E7A" w:rsidRDefault="00A36422">
            <w:pPr>
              <w:ind w:firstLine="0"/>
              <w:rPr>
                <w:sz w:val="28"/>
                <w:szCs w:val="28"/>
              </w:rPr>
            </w:pPr>
            <w:r>
              <w:rPr>
                <w:sz w:val="28"/>
                <w:szCs w:val="28"/>
              </w:rPr>
              <w:t>Предельно допустимый уровень валютного риска</w:t>
            </w:r>
          </w:p>
        </w:tc>
        <w:tc>
          <w:tcPr>
            <w:tcW w:w="3587" w:type="pct"/>
          </w:tcPr>
          <w:p w:rsidR="00CA5E7A" w:rsidRDefault="00A36422">
            <w:pPr>
              <w:ind w:firstLine="0"/>
              <w:jc w:val="both"/>
              <w:rPr>
                <w:sz w:val="28"/>
                <w:szCs w:val="28"/>
              </w:rPr>
            </w:pPr>
            <w:r>
              <w:rPr>
                <w:sz w:val="28"/>
                <w:szCs w:val="28"/>
              </w:rPr>
              <w:t xml:space="preserve">Верхняя граница допустимого уровня валютного риска, установленная органом управления ПАО «Газпром» </w:t>
            </w:r>
          </w:p>
        </w:tc>
      </w:tr>
      <w:tr w:rsidR="00CA5E7A">
        <w:trPr>
          <w:jc w:val="center"/>
        </w:trPr>
        <w:tc>
          <w:tcPr>
            <w:tcW w:w="1413" w:type="pct"/>
          </w:tcPr>
          <w:p w:rsidR="00CA5E7A" w:rsidRDefault="00A36422">
            <w:pPr>
              <w:ind w:firstLine="0"/>
              <w:rPr>
                <w:sz w:val="28"/>
                <w:szCs w:val="28"/>
              </w:rPr>
            </w:pPr>
            <w:r>
              <w:rPr>
                <w:sz w:val="28"/>
                <w:szCs w:val="28"/>
              </w:rPr>
              <w:t xml:space="preserve">Производный финансовый инструмент </w:t>
            </w:r>
          </w:p>
        </w:tc>
        <w:tc>
          <w:tcPr>
            <w:tcW w:w="3587" w:type="pct"/>
            <w:vAlign w:val="center"/>
          </w:tcPr>
          <w:p w:rsidR="00CA5E7A" w:rsidRDefault="00A36422">
            <w:pPr>
              <w:ind w:firstLine="0"/>
              <w:jc w:val="both"/>
              <w:rPr>
                <w:sz w:val="28"/>
                <w:szCs w:val="28"/>
              </w:rPr>
            </w:pPr>
            <w:r>
              <w:rPr>
                <w:sz w:val="28"/>
                <w:szCs w:val="28"/>
              </w:rPr>
              <w:t>Договор, за исключением договора репо, предусматривающий обязанность сторон или стороны договора периодически или единовременно уплачивать денежные суммы, купить или продать ценные бумаги, валюту или товар либо заключить договор, передать ценные бумаги, валюту или товар в собственность другой стороне</w:t>
            </w:r>
          </w:p>
        </w:tc>
      </w:tr>
      <w:tr w:rsidR="00CA5E7A">
        <w:trPr>
          <w:jc w:val="center"/>
        </w:trPr>
        <w:tc>
          <w:tcPr>
            <w:tcW w:w="1413" w:type="pct"/>
          </w:tcPr>
          <w:p w:rsidR="00CA5E7A" w:rsidRDefault="00A36422">
            <w:pPr>
              <w:ind w:firstLine="0"/>
              <w:rPr>
                <w:sz w:val="28"/>
                <w:szCs w:val="28"/>
              </w:rPr>
            </w:pPr>
            <w:r>
              <w:rPr>
                <w:sz w:val="28"/>
                <w:szCs w:val="28"/>
              </w:rPr>
              <w:t xml:space="preserve">ПУРиВК Общества </w:t>
            </w:r>
          </w:p>
        </w:tc>
        <w:tc>
          <w:tcPr>
            <w:tcW w:w="3587" w:type="pct"/>
          </w:tcPr>
          <w:p w:rsidR="00CA5E7A" w:rsidRDefault="00A36422">
            <w:pPr>
              <w:ind w:firstLine="0"/>
              <w:jc w:val="both"/>
              <w:rPr>
                <w:sz w:val="28"/>
                <w:szCs w:val="28"/>
              </w:rPr>
            </w:pPr>
            <w:r>
              <w:rPr>
                <w:sz w:val="28"/>
                <w:szCs w:val="28"/>
              </w:rPr>
              <w:t xml:space="preserve">Структурное подразделение Общества, формирующее единую политику в области управления рисками и внутреннего контроля ПАО «Газпром», МРГ и Общества, осуществляющее методологическое обеспечение ее реализации, а также взаимодействие со структурными подразделениями Общества по вопросам управления рисками и внутреннего контроля в рамках своей компетенции. </w:t>
            </w:r>
          </w:p>
          <w:p w:rsidR="00CA5E7A" w:rsidRDefault="00CA5E7A">
            <w:pPr>
              <w:ind w:firstLine="0"/>
              <w:jc w:val="both"/>
              <w:rPr>
                <w:sz w:val="28"/>
                <w:szCs w:val="28"/>
              </w:rPr>
            </w:pPr>
          </w:p>
        </w:tc>
      </w:tr>
      <w:tr w:rsidR="00CA5E7A">
        <w:trPr>
          <w:jc w:val="center"/>
        </w:trPr>
        <w:tc>
          <w:tcPr>
            <w:tcW w:w="1413" w:type="pct"/>
          </w:tcPr>
          <w:p w:rsidR="00CA5E7A" w:rsidRDefault="00A36422">
            <w:pPr>
              <w:ind w:firstLine="0"/>
              <w:rPr>
                <w:sz w:val="28"/>
                <w:szCs w:val="28"/>
              </w:rPr>
            </w:pPr>
            <w:r>
              <w:rPr>
                <w:sz w:val="28"/>
                <w:szCs w:val="28"/>
              </w:rPr>
              <w:t>Риск-координатор</w:t>
            </w:r>
          </w:p>
        </w:tc>
        <w:tc>
          <w:tcPr>
            <w:tcW w:w="3587" w:type="pct"/>
            <w:vAlign w:val="center"/>
          </w:tcPr>
          <w:p w:rsidR="00CA5E7A" w:rsidRDefault="00A36422">
            <w:pPr>
              <w:ind w:firstLine="0"/>
              <w:jc w:val="both"/>
              <w:rPr>
                <w:sz w:val="28"/>
                <w:szCs w:val="28"/>
              </w:rPr>
            </w:pPr>
            <w:r>
              <w:rPr>
                <w:sz w:val="28"/>
                <w:szCs w:val="28"/>
              </w:rPr>
              <w:t xml:space="preserve">Должностное лицо или структурное подразделение Общества, </w:t>
            </w:r>
            <w:r>
              <w:rPr>
                <w:rFonts w:eastAsiaTheme="minorEastAsia"/>
                <w:sz w:val="28"/>
                <w:szCs w:val="28"/>
              </w:rPr>
              <w:t xml:space="preserve">за которым в установленном порядке закреплена ответственность за обеспечение текущей методологической поддержки процесса управления </w:t>
            </w:r>
            <w:r>
              <w:rPr>
                <w:rFonts w:eastAsiaTheme="minorEastAsia"/>
                <w:sz w:val="28"/>
                <w:szCs w:val="28"/>
              </w:rPr>
              <w:lastRenderedPageBreak/>
              <w:t>рисками, консолидации информации по рискам, формирование и представление отчетности по рискам, координацию взаимодействия участ</w:t>
            </w:r>
            <w:r>
              <w:rPr>
                <w:sz w:val="28"/>
                <w:szCs w:val="28"/>
              </w:rPr>
              <w:t>ников процесса у</w:t>
            </w:r>
            <w:r>
              <w:rPr>
                <w:rFonts w:eastAsiaTheme="minorEastAsia"/>
                <w:sz w:val="28"/>
                <w:szCs w:val="28"/>
              </w:rPr>
              <w:t>правления рисками в структу</w:t>
            </w:r>
            <w:r>
              <w:rPr>
                <w:sz w:val="28"/>
                <w:szCs w:val="28"/>
              </w:rPr>
              <w:t xml:space="preserve">рных подразделениях Общества </w:t>
            </w:r>
          </w:p>
        </w:tc>
      </w:tr>
      <w:tr w:rsidR="00CA5E7A">
        <w:trPr>
          <w:jc w:val="center"/>
        </w:trPr>
        <w:tc>
          <w:tcPr>
            <w:tcW w:w="1413" w:type="pct"/>
          </w:tcPr>
          <w:p w:rsidR="00CA5E7A" w:rsidRDefault="00A36422">
            <w:pPr>
              <w:ind w:firstLine="0"/>
              <w:rPr>
                <w:sz w:val="28"/>
                <w:szCs w:val="28"/>
              </w:rPr>
            </w:pPr>
            <w:r>
              <w:rPr>
                <w:sz w:val="28"/>
                <w:szCs w:val="28"/>
              </w:rPr>
              <w:lastRenderedPageBreak/>
              <w:t>Реагирование на валютный риск</w:t>
            </w:r>
          </w:p>
        </w:tc>
        <w:tc>
          <w:tcPr>
            <w:tcW w:w="3587" w:type="pct"/>
            <w:vAlign w:val="center"/>
          </w:tcPr>
          <w:p w:rsidR="00CA5E7A" w:rsidRDefault="00A36422">
            <w:pPr>
              <w:pStyle w:val="18"/>
              <w:shd w:val="clear" w:color="auto" w:fill="auto"/>
              <w:tabs>
                <w:tab w:val="left" w:pos="1354"/>
              </w:tabs>
              <w:ind w:firstLine="0"/>
            </w:pPr>
            <w:r>
              <w:t>Совокупность целенаправленных воздействий на валютный риск, реализующих возможные способы (стратегии) реагирования на валютный риск (методы управления валютным риском):</w:t>
            </w:r>
          </w:p>
          <w:p w:rsidR="00CA5E7A" w:rsidRDefault="00A36422">
            <w:pPr>
              <w:pStyle w:val="18"/>
              <w:shd w:val="clear" w:color="auto" w:fill="auto"/>
              <w:ind w:firstLine="740"/>
            </w:pPr>
            <w:r>
              <w:t>- уклонение от валютного риска (избежание/исключение валютного риска), отказ от мероприятий/деятельности, в результате которых возникает валютный риск, полный отказ от потенциальных источников валютного риска;</w:t>
            </w:r>
          </w:p>
          <w:p w:rsidR="00CA5E7A" w:rsidRDefault="00A36422">
            <w:pPr>
              <w:pStyle w:val="18"/>
              <w:shd w:val="clear" w:color="auto" w:fill="auto"/>
              <w:ind w:firstLine="740"/>
            </w:pPr>
            <w:r>
              <w:t>- снижение (сокращение) валютного риска - реализация мероприятий, осуществление действий, направленных на уменьшение уровня валютного риска;</w:t>
            </w:r>
          </w:p>
          <w:p w:rsidR="00CA5E7A" w:rsidRDefault="00A36422">
            <w:pPr>
              <w:pStyle w:val="18"/>
              <w:shd w:val="clear" w:color="auto" w:fill="auto"/>
              <w:ind w:firstLine="740"/>
            </w:pPr>
            <w:r>
              <w:t>- перераспределение (передача) валютного риска - разделение валютного риска с другой стороной или сторонами, страхование;</w:t>
            </w:r>
          </w:p>
          <w:p w:rsidR="00CA5E7A" w:rsidRDefault="00A36422">
            <w:pPr>
              <w:pStyle w:val="18"/>
              <w:shd w:val="clear" w:color="auto" w:fill="auto"/>
              <w:ind w:firstLine="740"/>
            </w:pPr>
            <w:r>
              <w:t>- принятие (сохранение/удержание) валютного риска - отсутствие действий, применяемых при других способах реагирования на валютный риск, самострахование, хеджирование.</w:t>
            </w:r>
          </w:p>
        </w:tc>
      </w:tr>
      <w:tr w:rsidR="00CA5E7A">
        <w:trPr>
          <w:jc w:val="center"/>
        </w:trPr>
        <w:tc>
          <w:tcPr>
            <w:tcW w:w="1413" w:type="pct"/>
          </w:tcPr>
          <w:p w:rsidR="00CA5E7A" w:rsidRDefault="00A36422">
            <w:pPr>
              <w:ind w:firstLine="0"/>
              <w:rPr>
                <w:sz w:val="28"/>
                <w:szCs w:val="28"/>
              </w:rPr>
            </w:pPr>
            <w:r>
              <w:rPr>
                <w:sz w:val="28"/>
                <w:szCs w:val="28"/>
              </w:rPr>
              <w:t>Совладелец валютного риска</w:t>
            </w:r>
          </w:p>
        </w:tc>
        <w:tc>
          <w:tcPr>
            <w:tcW w:w="3587" w:type="pct"/>
            <w:vAlign w:val="center"/>
          </w:tcPr>
          <w:p w:rsidR="00CA5E7A" w:rsidRDefault="00A36422">
            <w:pPr>
              <w:pStyle w:val="18"/>
              <w:shd w:val="clear" w:color="auto" w:fill="auto"/>
              <w:tabs>
                <w:tab w:val="left" w:pos="1354"/>
              </w:tabs>
              <w:ind w:firstLine="0"/>
            </w:pPr>
            <w:r>
              <w:t xml:space="preserve">Структурное подразделение Общества, разделяющее полномочия и ответственность за управление валютным риском с владельцем валютного риска и другими совладельцами валютного риска </w:t>
            </w:r>
          </w:p>
        </w:tc>
      </w:tr>
      <w:tr w:rsidR="00CA5E7A">
        <w:trPr>
          <w:jc w:val="center"/>
        </w:trPr>
        <w:tc>
          <w:tcPr>
            <w:tcW w:w="1413" w:type="pct"/>
          </w:tcPr>
          <w:p w:rsidR="00CA5E7A" w:rsidRDefault="00A36422">
            <w:pPr>
              <w:ind w:firstLine="0"/>
              <w:rPr>
                <w:sz w:val="28"/>
                <w:szCs w:val="28"/>
              </w:rPr>
            </w:pPr>
            <w:r>
              <w:rPr>
                <w:sz w:val="28"/>
                <w:szCs w:val="28"/>
              </w:rPr>
              <w:t>Стресс-тестирование</w:t>
            </w:r>
          </w:p>
        </w:tc>
        <w:tc>
          <w:tcPr>
            <w:tcW w:w="3587" w:type="pct"/>
            <w:vAlign w:val="center"/>
          </w:tcPr>
          <w:p w:rsidR="00CA5E7A" w:rsidRDefault="00A36422">
            <w:pPr>
              <w:pStyle w:val="afff7"/>
              <w:widowControl/>
              <w:shd w:val="clear" w:color="auto" w:fill="auto"/>
              <w:ind w:firstLine="0"/>
            </w:pPr>
            <w:r>
              <w:t>Совокупность аналитических приемов, позволяющих выявить чувствительность активов и пассивов (обязательств) к возможным экстремальным событиям</w:t>
            </w:r>
          </w:p>
        </w:tc>
      </w:tr>
      <w:tr w:rsidR="00CA5E7A">
        <w:trPr>
          <w:jc w:val="center"/>
        </w:trPr>
        <w:tc>
          <w:tcPr>
            <w:tcW w:w="1413" w:type="pct"/>
          </w:tcPr>
          <w:p w:rsidR="00CA5E7A" w:rsidRDefault="00A36422">
            <w:pPr>
              <w:ind w:firstLine="0"/>
              <w:rPr>
                <w:sz w:val="28"/>
                <w:szCs w:val="28"/>
              </w:rPr>
            </w:pPr>
            <w:r>
              <w:rPr>
                <w:sz w:val="28"/>
                <w:szCs w:val="28"/>
              </w:rPr>
              <w:t>Сценарный анализ</w:t>
            </w:r>
          </w:p>
        </w:tc>
        <w:tc>
          <w:tcPr>
            <w:tcW w:w="3587" w:type="pct"/>
            <w:vAlign w:val="center"/>
          </w:tcPr>
          <w:p w:rsidR="00CA5E7A" w:rsidRDefault="00A36422">
            <w:pPr>
              <w:pStyle w:val="afff7"/>
              <w:widowControl/>
              <w:shd w:val="clear" w:color="auto" w:fill="auto"/>
              <w:tabs>
                <w:tab w:val="left" w:pos="1374"/>
              </w:tabs>
              <w:ind w:firstLine="0"/>
            </w:pPr>
            <w:r>
              <w:t xml:space="preserve">Методика анализа валютного риска, при которой наборы финансовых обстоятельств сравниваются с наиболее вероятными обстоятельствами или обстоятельствами базового состояния </w:t>
            </w:r>
          </w:p>
        </w:tc>
      </w:tr>
      <w:tr w:rsidR="00CA5E7A">
        <w:trPr>
          <w:jc w:val="center"/>
        </w:trPr>
        <w:tc>
          <w:tcPr>
            <w:tcW w:w="1413" w:type="pct"/>
          </w:tcPr>
          <w:p w:rsidR="00CA5E7A" w:rsidRDefault="00A36422">
            <w:pPr>
              <w:ind w:firstLine="0"/>
              <w:rPr>
                <w:sz w:val="28"/>
                <w:szCs w:val="28"/>
              </w:rPr>
            </w:pPr>
            <w:r>
              <w:rPr>
                <w:sz w:val="28"/>
                <w:szCs w:val="28"/>
              </w:rPr>
              <w:t>Управление валютным риском</w:t>
            </w:r>
          </w:p>
        </w:tc>
        <w:tc>
          <w:tcPr>
            <w:tcW w:w="3587" w:type="pct"/>
            <w:vAlign w:val="center"/>
          </w:tcPr>
          <w:p w:rsidR="00CA5E7A" w:rsidRDefault="00A36422">
            <w:pPr>
              <w:ind w:firstLine="0"/>
              <w:jc w:val="both"/>
            </w:pPr>
            <w:r>
              <w:rPr>
                <w:spacing w:val="-8"/>
                <w:sz w:val="28"/>
              </w:rPr>
              <w:t>Систематический процесс, затрагивающий деятельность</w:t>
            </w:r>
            <w:r>
              <w:rPr>
                <w:sz w:val="28"/>
                <w:szCs w:val="28"/>
              </w:rPr>
              <w:t xml:space="preserve"> Группы Газпром межрегионгаз и обеспечивающий </w:t>
            </w:r>
            <w:r>
              <w:rPr>
                <w:spacing w:val="-8"/>
                <w:sz w:val="28"/>
              </w:rPr>
              <w:t xml:space="preserve">поддержку органам управления Общества </w:t>
            </w:r>
            <w:r>
              <w:rPr>
                <w:spacing w:val="-10"/>
                <w:sz w:val="28"/>
              </w:rPr>
              <w:t xml:space="preserve">в принятии управленческих </w:t>
            </w:r>
            <w:r>
              <w:rPr>
                <w:sz w:val="28"/>
                <w:szCs w:val="28"/>
              </w:rPr>
              <w:t xml:space="preserve">решений в условиях неопределенности, связанной с изменением курсов валют </w:t>
            </w:r>
          </w:p>
        </w:tc>
      </w:tr>
      <w:tr w:rsidR="00CA5E7A">
        <w:trPr>
          <w:jc w:val="center"/>
        </w:trPr>
        <w:tc>
          <w:tcPr>
            <w:tcW w:w="1413" w:type="pct"/>
          </w:tcPr>
          <w:p w:rsidR="00CA5E7A" w:rsidRDefault="00A36422">
            <w:pPr>
              <w:ind w:firstLine="0"/>
              <w:rPr>
                <w:sz w:val="28"/>
                <w:szCs w:val="28"/>
              </w:rPr>
            </w:pPr>
            <w:r>
              <w:rPr>
                <w:sz w:val="28"/>
                <w:szCs w:val="28"/>
              </w:rPr>
              <w:t>Финансовый инструмент</w:t>
            </w:r>
          </w:p>
        </w:tc>
        <w:tc>
          <w:tcPr>
            <w:tcW w:w="3587" w:type="pct"/>
          </w:tcPr>
          <w:p w:rsidR="00CA5E7A" w:rsidRDefault="00A36422">
            <w:pPr>
              <w:pStyle w:val="afff7"/>
              <w:widowControl/>
              <w:shd w:val="clear" w:color="auto" w:fill="auto"/>
              <w:tabs>
                <w:tab w:val="left" w:pos="1374"/>
              </w:tabs>
              <w:ind w:firstLine="0"/>
            </w:pPr>
            <w:r>
              <w:rPr>
                <w:lang w:eastAsia="en-US"/>
              </w:rPr>
              <w:t xml:space="preserve">Любой договор, в результате которого одновременно возникает финансовый актив у одной стороны и </w:t>
            </w:r>
            <w:r>
              <w:rPr>
                <w:lang w:eastAsia="en-US"/>
              </w:rPr>
              <w:lastRenderedPageBreak/>
              <w:t>финансовое обязательство или долевой инструмент у другой</w:t>
            </w:r>
          </w:p>
        </w:tc>
      </w:tr>
      <w:tr w:rsidR="00CA5E7A">
        <w:trPr>
          <w:jc w:val="center"/>
        </w:trPr>
        <w:tc>
          <w:tcPr>
            <w:tcW w:w="1413" w:type="pct"/>
          </w:tcPr>
          <w:p w:rsidR="00CA5E7A" w:rsidRDefault="00A36422">
            <w:pPr>
              <w:ind w:firstLine="0"/>
              <w:rPr>
                <w:sz w:val="28"/>
                <w:szCs w:val="28"/>
              </w:rPr>
            </w:pPr>
            <w:r>
              <w:rPr>
                <w:sz w:val="28"/>
                <w:szCs w:val="28"/>
              </w:rPr>
              <w:lastRenderedPageBreak/>
              <w:t>Фьючерсный договор (фьючерс)</w:t>
            </w:r>
          </w:p>
        </w:tc>
        <w:tc>
          <w:tcPr>
            <w:tcW w:w="3587" w:type="pct"/>
          </w:tcPr>
          <w:p w:rsidR="00CA5E7A" w:rsidRDefault="00A36422">
            <w:pPr>
              <w:pStyle w:val="afff7"/>
              <w:widowControl/>
              <w:shd w:val="clear" w:color="auto" w:fill="auto"/>
              <w:tabs>
                <w:tab w:val="left" w:pos="1374"/>
              </w:tabs>
              <w:ind w:firstLine="0"/>
              <w:rPr>
                <w:rFonts w:ascii="Arial" w:hAnsi="Arial" w:cs="Arial"/>
                <w:color w:val="202122"/>
                <w:sz w:val="21"/>
                <w:szCs w:val="21"/>
                <w:shd w:val="clear" w:color="auto" w:fill="FFFFFF"/>
              </w:rPr>
            </w:pPr>
            <w:r>
              <w:t>Заключаемый на биржевых торгах договор, предусматривающий обязанность каждой из сторон договора периодически уплачивать денежные суммы в зависимости от изменения цен (значений) базисного актива и/или наступления обстоятельства, являющегося базисным активом.</w:t>
            </w:r>
          </w:p>
          <w:p w:rsidR="00CA5E7A" w:rsidRDefault="00A36422">
            <w:pPr>
              <w:pStyle w:val="afff7"/>
              <w:widowControl/>
              <w:shd w:val="clear" w:color="auto" w:fill="auto"/>
              <w:tabs>
                <w:tab w:val="left" w:pos="1374"/>
              </w:tabs>
              <w:ind w:firstLine="0"/>
            </w:pPr>
            <w:r>
              <w:t>Фьючерсный договор помимо условий, установленных абзацем первым настоящего пункта, может также предусматривать одну из следующих обязанностей:</w:t>
            </w:r>
          </w:p>
          <w:p w:rsidR="00CA5E7A" w:rsidRDefault="00A36422">
            <w:pPr>
              <w:pStyle w:val="afff7"/>
              <w:widowControl/>
              <w:shd w:val="clear" w:color="auto" w:fill="auto"/>
              <w:tabs>
                <w:tab w:val="left" w:pos="1374"/>
              </w:tabs>
              <w:ind w:firstLine="397"/>
            </w:pPr>
            <w:r>
              <w:t>- обязанность одной стороны договора передать ценные бумаги, валюту или товар, являющиеся базисным активом, в собственность другой стороне или лицу (лицам), в интересах которых был заключен фьючерсный договор, в том числе путем заключения стороной (сторонами) фьючерсного договора и/или лицом (лицами), в интересах которых был заключен фьючерсный договор, договора купли-продажи ценных бумаг, договора купли-продажи иностранной валюты или договора поставки товара;</w:t>
            </w:r>
          </w:p>
          <w:p w:rsidR="00CA5E7A" w:rsidRDefault="00A36422">
            <w:pPr>
              <w:pStyle w:val="afff7"/>
              <w:widowControl/>
              <w:shd w:val="clear" w:color="auto" w:fill="auto"/>
              <w:tabs>
                <w:tab w:val="left" w:pos="1374"/>
              </w:tabs>
              <w:ind w:firstLine="397"/>
              <w:rPr>
                <w:spacing w:val="-8"/>
              </w:rPr>
            </w:pPr>
            <w:r>
              <w:rPr>
                <w:spacing w:val="-8"/>
              </w:rPr>
              <w:t xml:space="preserve">- обязанность сторон фьючерсного договора заключить </w:t>
            </w:r>
            <w:r>
              <w:t>договор, являющийся производным финансовым инструментом и составляющий базисный актив</w:t>
            </w:r>
          </w:p>
        </w:tc>
      </w:tr>
      <w:tr w:rsidR="00CA5E7A">
        <w:trPr>
          <w:cantSplit/>
          <w:jc w:val="center"/>
        </w:trPr>
        <w:tc>
          <w:tcPr>
            <w:tcW w:w="1413" w:type="pct"/>
          </w:tcPr>
          <w:p w:rsidR="00CA5E7A" w:rsidRDefault="00A36422">
            <w:pPr>
              <w:ind w:firstLine="0"/>
              <w:rPr>
                <w:sz w:val="28"/>
                <w:szCs w:val="28"/>
                <w:lang w:eastAsia="ru-RU"/>
              </w:rPr>
            </w:pPr>
            <w:r>
              <w:rPr>
                <w:sz w:val="28"/>
                <w:szCs w:val="28"/>
                <w:lang w:val="en-US"/>
              </w:rPr>
              <w:t>VaR</w:t>
            </w:r>
            <w:r>
              <w:rPr>
                <w:sz w:val="28"/>
                <w:szCs w:val="28"/>
              </w:rPr>
              <w:t xml:space="preserve"> (</w:t>
            </w:r>
            <w:r>
              <w:rPr>
                <w:sz w:val="28"/>
                <w:szCs w:val="28"/>
                <w:lang w:val="en-US"/>
              </w:rPr>
              <w:t>Value</w:t>
            </w:r>
            <w:r>
              <w:rPr>
                <w:sz w:val="28"/>
                <w:szCs w:val="28"/>
              </w:rPr>
              <w:t>-</w:t>
            </w:r>
            <w:r>
              <w:rPr>
                <w:sz w:val="28"/>
                <w:szCs w:val="28"/>
                <w:lang w:val="en-US"/>
              </w:rPr>
              <w:t>at</w:t>
            </w:r>
            <w:r>
              <w:rPr>
                <w:sz w:val="28"/>
                <w:szCs w:val="28"/>
              </w:rPr>
              <w:t>-</w:t>
            </w:r>
            <w:r>
              <w:rPr>
                <w:sz w:val="28"/>
                <w:szCs w:val="28"/>
                <w:lang w:val="en-US"/>
              </w:rPr>
              <w:t>Risk</w:t>
            </w:r>
            <w:r>
              <w:rPr>
                <w:sz w:val="28"/>
                <w:szCs w:val="28"/>
              </w:rPr>
              <w:t>)</w:t>
            </w:r>
          </w:p>
        </w:tc>
        <w:tc>
          <w:tcPr>
            <w:tcW w:w="3587" w:type="pct"/>
          </w:tcPr>
          <w:p w:rsidR="00CA5E7A" w:rsidRDefault="00A36422">
            <w:pPr>
              <w:ind w:firstLine="0"/>
              <w:jc w:val="both"/>
              <w:rPr>
                <w:sz w:val="28"/>
                <w:szCs w:val="28"/>
                <w:lang w:eastAsia="ru-RU"/>
              </w:rPr>
            </w:pPr>
            <w:r>
              <w:rPr>
                <w:sz w:val="28"/>
                <w:szCs w:val="28"/>
              </w:rPr>
              <w:t>Количественная мера риска, равная максимальным потерям по данному риску, которые возможны в течение определенного срока (горизонта прогноза) с заданной доверительной вероятностью</w:t>
            </w:r>
          </w:p>
        </w:tc>
      </w:tr>
    </w:tbl>
    <w:p w:rsidR="00CA5E7A" w:rsidRDefault="00A36422">
      <w:pPr>
        <w:pStyle w:val="afff"/>
        <w:spacing w:before="120"/>
        <w:rPr>
          <w:sz w:val="28"/>
          <w:szCs w:val="28"/>
        </w:rPr>
      </w:pPr>
      <w:r>
        <w:rPr>
          <w:sz w:val="28"/>
          <w:szCs w:val="28"/>
        </w:rPr>
        <w:t>Термины, определения и сокращения используются в значениях, указанных в пп. 1.1 и 1.2 Положения, а в случае если они там отсутствуют – в значениях, определенных в нормативных документах, приведенных в п. 1.4 Положения.</w:t>
      </w:r>
    </w:p>
    <w:p w:rsidR="00CA5E7A" w:rsidRDefault="00A36422">
      <w:pPr>
        <w:pStyle w:val="2"/>
        <w:numPr>
          <w:ilvl w:val="1"/>
          <w:numId w:val="4"/>
        </w:numPr>
        <w:spacing w:before="120"/>
        <w:jc w:val="both"/>
      </w:pPr>
      <w:bookmarkStart w:id="4" w:name="_Toc4"/>
      <w:r>
        <w:t>Цель и задачи Положения</w:t>
      </w:r>
      <w:bookmarkEnd w:id="4"/>
    </w:p>
    <w:p w:rsidR="00CA5E7A" w:rsidRDefault="00A36422">
      <w:pPr>
        <w:pStyle w:val="afff"/>
        <w:rPr>
          <w:sz w:val="28"/>
          <w:szCs w:val="28"/>
        </w:rPr>
      </w:pPr>
      <w:r>
        <w:rPr>
          <w:sz w:val="28"/>
          <w:szCs w:val="28"/>
        </w:rPr>
        <w:t>Целью настоящего Положения является систематизация и обобщение методов и подходов к управлению валютным риском в процессе деятельности Общества, а также обеспечение нормативной и методологической поддержки работников Общества</w:t>
      </w:r>
      <w:r>
        <w:rPr>
          <w:szCs w:val="28"/>
        </w:rPr>
        <w:t xml:space="preserve">, </w:t>
      </w:r>
      <w:r>
        <w:rPr>
          <w:sz w:val="28"/>
          <w:szCs w:val="28"/>
        </w:rPr>
        <w:t>участвующих в процессе управления валютным риском согласно утвержденному в Обществе, распределению полномочий и обязанностей.</w:t>
      </w:r>
    </w:p>
    <w:p w:rsidR="00CA5E7A" w:rsidRDefault="00A36422">
      <w:pPr>
        <w:pStyle w:val="afff"/>
        <w:rPr>
          <w:sz w:val="28"/>
          <w:szCs w:val="28"/>
        </w:rPr>
      </w:pPr>
      <w:r>
        <w:rPr>
          <w:sz w:val="28"/>
          <w:szCs w:val="28"/>
        </w:rPr>
        <w:t>Для достижения обозначенной цели в рамках настоящего Положения решаются следующие задачи:</w:t>
      </w:r>
    </w:p>
    <w:p w:rsidR="00CA5E7A" w:rsidRDefault="00A36422">
      <w:pPr>
        <w:contextualSpacing/>
        <w:jc w:val="both"/>
        <w:rPr>
          <w:sz w:val="28"/>
          <w:szCs w:val="28"/>
        </w:rPr>
      </w:pPr>
      <w:r>
        <w:rPr>
          <w:sz w:val="28"/>
          <w:szCs w:val="28"/>
        </w:rPr>
        <w:lastRenderedPageBreak/>
        <w:t>- уточнение и детализация целей, задач и принципов управления валютным риском как составной части СУРиВК;</w:t>
      </w:r>
    </w:p>
    <w:p w:rsidR="00CA5E7A" w:rsidRDefault="00A36422">
      <w:pPr>
        <w:contextualSpacing/>
        <w:jc w:val="both"/>
        <w:rPr>
          <w:sz w:val="28"/>
          <w:szCs w:val="28"/>
        </w:rPr>
      </w:pPr>
      <w:r>
        <w:rPr>
          <w:sz w:val="28"/>
          <w:szCs w:val="28"/>
        </w:rPr>
        <w:t>- закрепление единой методической и терминологической базы;</w:t>
      </w:r>
    </w:p>
    <w:p w:rsidR="00CA5E7A" w:rsidRDefault="00A36422">
      <w:pPr>
        <w:contextualSpacing/>
        <w:jc w:val="both"/>
        <w:rPr>
          <w:sz w:val="28"/>
          <w:szCs w:val="28"/>
        </w:rPr>
      </w:pPr>
      <w:r>
        <w:rPr>
          <w:sz w:val="28"/>
          <w:szCs w:val="28"/>
        </w:rPr>
        <w:t>- распределение функций и полномочий между участниками управления валютным риском;</w:t>
      </w:r>
    </w:p>
    <w:p w:rsidR="00CA5E7A" w:rsidRDefault="00A36422">
      <w:pPr>
        <w:contextualSpacing/>
        <w:jc w:val="both"/>
        <w:rPr>
          <w:sz w:val="28"/>
          <w:szCs w:val="28"/>
        </w:rPr>
      </w:pPr>
      <w:r>
        <w:rPr>
          <w:sz w:val="28"/>
          <w:szCs w:val="28"/>
        </w:rPr>
        <w:t>- описание процесса управления валютным риском и детализация задач, решаемых на каждом этапе.</w:t>
      </w:r>
    </w:p>
    <w:p w:rsidR="00CA5E7A" w:rsidRDefault="00A36422">
      <w:pPr>
        <w:contextualSpacing/>
        <w:jc w:val="both"/>
        <w:rPr>
          <w:sz w:val="28"/>
          <w:szCs w:val="28"/>
        </w:rPr>
      </w:pPr>
      <w:r>
        <w:rPr>
          <w:sz w:val="28"/>
          <w:szCs w:val="28"/>
        </w:rPr>
        <w:t>Дочерние общества на основе настоящего Положения обеспечивают утверждение локального нормативного акта (Положения), регламентирующего порядок управления валютным риском в дочернем обществе.</w:t>
      </w:r>
    </w:p>
    <w:p w:rsidR="00CA5E7A" w:rsidRDefault="00A36422">
      <w:pPr>
        <w:pStyle w:val="2"/>
        <w:numPr>
          <w:ilvl w:val="1"/>
          <w:numId w:val="4"/>
        </w:numPr>
        <w:spacing w:before="120"/>
        <w:jc w:val="both"/>
      </w:pPr>
      <w:bookmarkStart w:id="5" w:name="_Toc5"/>
      <w:r>
        <w:t>Нормативные документы</w:t>
      </w:r>
      <w:bookmarkEnd w:id="5"/>
    </w:p>
    <w:p w:rsidR="00CA5E7A" w:rsidRDefault="00A36422">
      <w:pPr>
        <w:pStyle w:val="a"/>
        <w:numPr>
          <w:ilvl w:val="0"/>
          <w:numId w:val="0"/>
        </w:numPr>
        <w:tabs>
          <w:tab w:val="clear" w:pos="992"/>
          <w:tab w:val="left" w:pos="0"/>
          <w:tab w:val="left" w:pos="709"/>
        </w:tabs>
        <w:ind w:firstLine="709"/>
      </w:pPr>
      <w:r>
        <w:t>Настоящее Положение учитывает требования нормативных правовых актов Российской Федерации, нормативных документов ПАО</w:t>
      </w:r>
      <w:r>
        <w:rPr>
          <w:rFonts w:eastAsia="Calibri"/>
          <w:spacing w:val="-6"/>
          <w:lang w:eastAsia="ru-RU"/>
        </w:rPr>
        <w:t> </w:t>
      </w:r>
      <w:r>
        <w:t>«Газпром», Общества.</w:t>
      </w:r>
    </w:p>
    <w:p w:rsidR="00CA5E7A" w:rsidRDefault="00A36422">
      <w:pPr>
        <w:tabs>
          <w:tab w:val="left" w:pos="0"/>
          <w:tab w:val="left" w:pos="709"/>
          <w:tab w:val="left" w:pos="851"/>
        </w:tabs>
        <w:jc w:val="both"/>
        <w:rPr>
          <w:sz w:val="28"/>
          <w:szCs w:val="28"/>
        </w:rPr>
      </w:pPr>
      <w:r>
        <w:rPr>
          <w:sz w:val="28"/>
          <w:szCs w:val="28"/>
        </w:rPr>
        <w:t xml:space="preserve">В частности, Положение разработано с учетом положений и требований: </w:t>
      </w:r>
    </w:p>
    <w:p w:rsidR="00CA5E7A" w:rsidRDefault="00A36422">
      <w:pPr>
        <w:pStyle w:val="a"/>
        <w:numPr>
          <w:ilvl w:val="0"/>
          <w:numId w:val="0"/>
        </w:numPr>
        <w:tabs>
          <w:tab w:val="clear" w:pos="992"/>
          <w:tab w:val="left" w:pos="0"/>
          <w:tab w:val="left" w:pos="851"/>
        </w:tabs>
        <w:ind w:firstLine="709"/>
      </w:pPr>
      <w:r>
        <w:t>- Международных и российских стандартов в области управления рисками</w:t>
      </w:r>
      <w:r>
        <w:rPr>
          <w:rStyle w:val="aff2"/>
        </w:rPr>
        <w:footnoteReference w:id="2"/>
      </w:r>
      <w:r>
        <w:t>;</w:t>
      </w:r>
    </w:p>
    <w:p w:rsidR="00CA5E7A" w:rsidRDefault="00A36422">
      <w:pPr>
        <w:pStyle w:val="a"/>
        <w:numPr>
          <w:ilvl w:val="0"/>
          <w:numId w:val="0"/>
        </w:numPr>
        <w:tabs>
          <w:tab w:val="clear" w:pos="992"/>
          <w:tab w:val="left" w:pos="0"/>
          <w:tab w:val="left" w:pos="851"/>
        </w:tabs>
        <w:ind w:firstLine="709"/>
        <w:contextualSpacing/>
      </w:pPr>
      <w:r>
        <w:t>- Политики управления рисками и внутреннего контроля ПАО</w:t>
      </w:r>
      <w:r>
        <w:rPr>
          <w:rFonts w:eastAsia="Calibri"/>
          <w:spacing w:val="-6"/>
          <w:lang w:eastAsia="ru-RU"/>
        </w:rPr>
        <w:t> </w:t>
      </w:r>
      <w:r>
        <w:t>«Газпром»;</w:t>
      </w:r>
    </w:p>
    <w:p w:rsidR="00CA5E7A" w:rsidRDefault="00A36422">
      <w:pPr>
        <w:pStyle w:val="a"/>
        <w:numPr>
          <w:ilvl w:val="0"/>
          <w:numId w:val="0"/>
        </w:numPr>
        <w:tabs>
          <w:tab w:val="clear" w:pos="992"/>
          <w:tab w:val="left" w:pos="0"/>
          <w:tab w:val="left" w:pos="851"/>
        </w:tabs>
        <w:ind w:firstLine="709"/>
        <w:contextualSpacing/>
      </w:pPr>
      <w:r>
        <w:t>- Положения по управлению валютным риском Группы Газпром;</w:t>
      </w:r>
    </w:p>
    <w:p w:rsidR="00CA5E7A" w:rsidRDefault="00A36422">
      <w:pPr>
        <w:pStyle w:val="a"/>
        <w:numPr>
          <w:ilvl w:val="0"/>
          <w:numId w:val="0"/>
        </w:numPr>
        <w:tabs>
          <w:tab w:val="clear" w:pos="992"/>
          <w:tab w:val="left" w:pos="0"/>
          <w:tab w:val="left" w:pos="851"/>
        </w:tabs>
        <w:ind w:firstLine="709"/>
        <w:rPr>
          <w:rFonts w:eastAsia="Calibri"/>
          <w:lang w:eastAsia="ru-RU"/>
        </w:rPr>
      </w:pPr>
      <w:r>
        <w:t>- </w:t>
      </w:r>
      <w:r>
        <w:rPr>
          <w:rFonts w:eastAsia="Calibri"/>
          <w:lang w:eastAsia="ru-RU"/>
        </w:rPr>
        <w:t>Методических рекомендаций по управлению рисками с использованием качественных оценок ПАО «Газпром»;</w:t>
      </w:r>
    </w:p>
    <w:p w:rsidR="00CA5E7A" w:rsidRDefault="00A36422">
      <w:pPr>
        <w:pStyle w:val="a"/>
        <w:numPr>
          <w:ilvl w:val="0"/>
          <w:numId w:val="0"/>
        </w:numPr>
        <w:tabs>
          <w:tab w:val="clear" w:pos="992"/>
          <w:tab w:val="left" w:pos="0"/>
          <w:tab w:val="left" w:pos="851"/>
        </w:tabs>
        <w:ind w:firstLine="709"/>
        <w:rPr>
          <w:rFonts w:eastAsia="Calibri"/>
          <w:lang w:eastAsia="ru-RU"/>
        </w:rPr>
      </w:pPr>
      <w:r>
        <w:rPr>
          <w:rFonts w:eastAsia="Calibri"/>
          <w:lang w:eastAsia="ru-RU"/>
        </w:rPr>
        <w:t>- Политики управления рисками и внутреннего контроля ООО</w:t>
      </w:r>
      <w:r>
        <w:rPr>
          <w:rFonts w:eastAsia="Calibri"/>
          <w:spacing w:val="-6"/>
          <w:lang w:eastAsia="ru-RU"/>
        </w:rPr>
        <w:t> </w:t>
      </w:r>
      <w:r>
        <w:rPr>
          <w:rFonts w:eastAsia="Calibri"/>
          <w:lang w:eastAsia="ru-RU"/>
        </w:rPr>
        <w:t>«Газпром межрегионгаз» и организаций Группы Газпром межрегионгаз;</w:t>
      </w:r>
    </w:p>
    <w:p w:rsidR="00CA5E7A" w:rsidRDefault="00A36422">
      <w:pPr>
        <w:pStyle w:val="a"/>
        <w:numPr>
          <w:ilvl w:val="0"/>
          <w:numId w:val="0"/>
        </w:numPr>
        <w:tabs>
          <w:tab w:val="clear" w:pos="992"/>
          <w:tab w:val="left" w:pos="0"/>
          <w:tab w:val="left" w:pos="851"/>
        </w:tabs>
        <w:ind w:firstLine="709"/>
        <w:rPr>
          <w:rFonts w:eastAsia="Calibri"/>
          <w:lang w:eastAsia="ru-RU"/>
        </w:rPr>
      </w:pPr>
      <w:r>
        <w:rPr>
          <w:rFonts w:eastAsia="Calibri"/>
          <w:lang w:eastAsia="ru-RU"/>
        </w:rPr>
        <w:t>- Положения об управлении финансовыми рисками ООО «Газпром межрегионгаз» (далее – Положение УФР);</w:t>
      </w:r>
    </w:p>
    <w:p w:rsidR="00CA5E7A" w:rsidRDefault="00A36422">
      <w:pPr>
        <w:tabs>
          <w:tab w:val="left" w:pos="992"/>
        </w:tabs>
        <w:jc w:val="both"/>
        <w:rPr>
          <w:rFonts w:eastAsia="Calibri"/>
          <w:sz w:val="28"/>
          <w:szCs w:val="28"/>
          <w:lang w:eastAsia="ru-RU"/>
        </w:rPr>
      </w:pPr>
      <w:r>
        <w:rPr>
          <w:rFonts w:eastAsia="Calibri"/>
          <w:sz w:val="28"/>
          <w:szCs w:val="28"/>
          <w:lang w:eastAsia="ru-RU"/>
        </w:rPr>
        <w:t>- Политики</w:t>
      </w:r>
    </w:p>
    <w:p w:rsidR="00CA5E7A" w:rsidRDefault="00A36422">
      <w:pPr>
        <w:pStyle w:val="2"/>
        <w:numPr>
          <w:ilvl w:val="1"/>
          <w:numId w:val="4"/>
        </w:numPr>
        <w:spacing w:before="120"/>
        <w:jc w:val="both"/>
      </w:pPr>
      <w:bookmarkStart w:id="6" w:name="_Toc6"/>
      <w:r>
        <w:t>Порядок изменения Положения</w:t>
      </w:r>
      <w:bookmarkEnd w:id="6"/>
    </w:p>
    <w:p w:rsidR="00CA5E7A" w:rsidRDefault="00A36422">
      <w:pPr>
        <w:pStyle w:val="14"/>
        <w:tabs>
          <w:tab w:val="left" w:pos="567"/>
        </w:tabs>
        <w:ind w:left="0" w:firstLine="567"/>
      </w:pPr>
      <w:r>
        <w:rPr>
          <w:lang w:eastAsia="de-DE"/>
        </w:rPr>
        <w:t>Основаниями для внесения изменений и дополнений в настоящее Положение являются</w:t>
      </w:r>
      <w:r>
        <w:t>:</w:t>
      </w:r>
    </w:p>
    <w:p w:rsidR="00CA5E7A" w:rsidRDefault="00A36422">
      <w:pPr>
        <w:pStyle w:val="affe"/>
        <w:tabs>
          <w:tab w:val="left" w:pos="709"/>
        </w:tabs>
        <w:ind w:firstLine="709"/>
        <w:rPr>
          <w:rFonts w:cs="Calibri"/>
          <w:sz w:val="28"/>
          <w:szCs w:val="28"/>
          <w:lang w:eastAsia="de-DE"/>
        </w:rPr>
      </w:pPr>
      <w:r>
        <w:rPr>
          <w:rFonts w:cs="Calibri"/>
          <w:sz w:val="28"/>
          <w:szCs w:val="28"/>
          <w:lang w:eastAsia="de-DE"/>
        </w:rPr>
        <w:t>- изменение законодательства Российской Федерации, нормативных документов ПАО «Газпром», внутренних распорядительных и нормативных документов Общества;</w:t>
      </w:r>
    </w:p>
    <w:p w:rsidR="00CA5E7A" w:rsidRDefault="00A36422">
      <w:pPr>
        <w:pStyle w:val="affe"/>
        <w:tabs>
          <w:tab w:val="left" w:pos="567"/>
          <w:tab w:val="left" w:pos="709"/>
        </w:tabs>
        <w:ind w:firstLine="709"/>
        <w:rPr>
          <w:sz w:val="28"/>
          <w:szCs w:val="28"/>
          <w:lang w:eastAsia="ru-RU"/>
        </w:rPr>
      </w:pPr>
      <w:r>
        <w:rPr>
          <w:sz w:val="28"/>
          <w:szCs w:val="28"/>
        </w:rPr>
        <w:t>- </w:t>
      </w:r>
      <w:r>
        <w:rPr>
          <w:sz w:val="28"/>
          <w:szCs w:val="28"/>
          <w:lang w:eastAsia="ru-RU"/>
        </w:rPr>
        <w:t xml:space="preserve">изменение состава или полномочий и ответственности участников процесса управления валютным риском </w:t>
      </w:r>
      <w:r>
        <w:rPr>
          <w:sz w:val="28"/>
          <w:szCs w:val="28"/>
        </w:rPr>
        <w:t>согласно утвержденному в Обществе распределению полномочий и обязанностей</w:t>
      </w:r>
      <w:r>
        <w:rPr>
          <w:sz w:val="28"/>
          <w:szCs w:val="28"/>
          <w:lang w:eastAsia="ru-RU"/>
        </w:rPr>
        <w:t>;</w:t>
      </w:r>
    </w:p>
    <w:p w:rsidR="00CA5E7A" w:rsidRDefault="00A36422">
      <w:pPr>
        <w:pStyle w:val="affe"/>
        <w:tabs>
          <w:tab w:val="left" w:pos="567"/>
          <w:tab w:val="left" w:pos="992"/>
        </w:tabs>
        <w:ind w:firstLine="709"/>
        <w:rPr>
          <w:sz w:val="28"/>
          <w:szCs w:val="28"/>
        </w:rPr>
      </w:pPr>
      <w:r>
        <w:rPr>
          <w:sz w:val="28"/>
          <w:szCs w:val="28"/>
        </w:rPr>
        <w:t>- </w:t>
      </w:r>
      <w:r>
        <w:rPr>
          <w:sz w:val="28"/>
          <w:szCs w:val="28"/>
          <w:lang w:eastAsia="ru-RU"/>
        </w:rPr>
        <w:t>выявление в рамках оценки эффективности управления валютным риском необходимости совершенствования методологии или изменения процесса управления валютным риском.</w:t>
      </w:r>
    </w:p>
    <w:p w:rsidR="00CA5E7A" w:rsidRDefault="00A36422">
      <w:pPr>
        <w:tabs>
          <w:tab w:val="left" w:pos="567"/>
        </w:tabs>
        <w:ind w:firstLine="567"/>
        <w:jc w:val="both"/>
        <w:rPr>
          <w:sz w:val="28"/>
          <w:szCs w:val="28"/>
        </w:rPr>
      </w:pPr>
      <w:r>
        <w:rPr>
          <w:sz w:val="28"/>
          <w:szCs w:val="28"/>
        </w:rPr>
        <w:lastRenderedPageBreak/>
        <w:t>Контроль за соблюдением Положения, поддержанием его в актуальном состоянии, а также разрешением спорных вопросов в рамках управления валютным риском осуществляет ПУРиВК Общества.</w:t>
      </w:r>
    </w:p>
    <w:p w:rsidR="00CA5E7A" w:rsidRDefault="00A36422">
      <w:pPr>
        <w:pStyle w:val="a"/>
        <w:numPr>
          <w:ilvl w:val="0"/>
          <w:numId w:val="0"/>
        </w:numPr>
        <w:tabs>
          <w:tab w:val="left" w:pos="567"/>
        </w:tabs>
        <w:ind w:firstLine="567"/>
      </w:pPr>
      <w:r>
        <w:t>Настоящее Положение утверждается, изменяется и признается утратившим силу согласно установленному в Обществе порядку.</w:t>
      </w:r>
    </w:p>
    <w:p w:rsidR="00CA5E7A" w:rsidRDefault="00A36422">
      <w:pPr>
        <w:pStyle w:val="10"/>
        <w:numPr>
          <w:ilvl w:val="0"/>
          <w:numId w:val="4"/>
        </w:numPr>
        <w:spacing w:before="120" w:after="120" w:line="240" w:lineRule="auto"/>
        <w:jc w:val="both"/>
      </w:pPr>
      <w:bookmarkStart w:id="7" w:name="_Toc7"/>
      <w:r>
        <w:t xml:space="preserve">Процесс управления валютным риском </w:t>
      </w:r>
      <w:bookmarkEnd w:id="7"/>
    </w:p>
    <w:p w:rsidR="00CA5E7A" w:rsidRDefault="00A36422">
      <w:pPr>
        <w:pStyle w:val="2"/>
        <w:numPr>
          <w:ilvl w:val="1"/>
          <w:numId w:val="4"/>
        </w:numPr>
        <w:spacing w:before="120"/>
        <w:jc w:val="both"/>
      </w:pPr>
      <w:bookmarkStart w:id="8" w:name="_Toc8"/>
      <w:r>
        <w:t>Цели и задачи управления валютным риском</w:t>
      </w:r>
      <w:bookmarkEnd w:id="8"/>
    </w:p>
    <w:p w:rsidR="00CA5E7A" w:rsidRDefault="00A36422">
      <w:pPr>
        <w:pStyle w:val="a"/>
        <w:numPr>
          <w:ilvl w:val="2"/>
          <w:numId w:val="4"/>
        </w:numPr>
        <w:tabs>
          <w:tab w:val="clear" w:pos="992"/>
          <w:tab w:val="left" w:pos="993"/>
        </w:tabs>
        <w:ind w:left="0" w:firstLine="709"/>
      </w:pPr>
      <w:r>
        <w:rPr>
          <w:lang w:eastAsia="de-DE"/>
        </w:rPr>
        <w:t>Управление валютным риском способствует достижению целей и решению задач СУРиВК, определенных в Политике и Положении УФР.</w:t>
      </w:r>
    </w:p>
    <w:p w:rsidR="00CA5E7A" w:rsidRDefault="00A36422">
      <w:pPr>
        <w:pStyle w:val="a"/>
        <w:numPr>
          <w:ilvl w:val="2"/>
          <w:numId w:val="4"/>
        </w:numPr>
        <w:tabs>
          <w:tab w:val="clear" w:pos="992"/>
          <w:tab w:val="left" w:pos="993"/>
        </w:tabs>
        <w:ind w:left="0" w:firstLine="709"/>
      </w:pPr>
      <w:r>
        <w:t xml:space="preserve"> Целью управления валютным риском также является минимизация убытков, обусловленных переоценкой активов и обязательств (пассивов) Общества, номинированных в иностранной валюте, вследствие изменения курса валюты.</w:t>
      </w:r>
    </w:p>
    <w:p w:rsidR="00CA5E7A" w:rsidRDefault="00A36422">
      <w:pPr>
        <w:pStyle w:val="a"/>
        <w:numPr>
          <w:ilvl w:val="2"/>
          <w:numId w:val="4"/>
        </w:numPr>
        <w:tabs>
          <w:tab w:val="clear" w:pos="992"/>
          <w:tab w:val="left" w:pos="993"/>
        </w:tabs>
        <w:ind w:left="0" w:firstLine="709"/>
      </w:pPr>
      <w:r>
        <w:t>Цель управления валютным риском достигается посредством решения следующих задач:</w:t>
      </w:r>
    </w:p>
    <w:p w:rsidR="00CA5E7A" w:rsidRDefault="00A36422">
      <w:pPr>
        <w:pStyle w:val="a"/>
        <w:numPr>
          <w:ilvl w:val="0"/>
          <w:numId w:val="0"/>
        </w:numPr>
        <w:tabs>
          <w:tab w:val="clear" w:pos="992"/>
          <w:tab w:val="left" w:pos="993"/>
        </w:tabs>
        <w:ind w:firstLine="709"/>
        <w:rPr>
          <w:lang w:eastAsia="ru-RU"/>
        </w:rPr>
      </w:pPr>
      <w:r>
        <w:t xml:space="preserve">- распределение функций между участниками </w:t>
      </w:r>
      <w:r>
        <w:rPr>
          <w:lang w:eastAsia="ru-RU"/>
        </w:rPr>
        <w:t>управления валютным риском;</w:t>
      </w:r>
    </w:p>
    <w:p w:rsidR="00CA5E7A" w:rsidRDefault="00A36422">
      <w:pPr>
        <w:pStyle w:val="a"/>
        <w:numPr>
          <w:ilvl w:val="0"/>
          <w:numId w:val="0"/>
        </w:numPr>
        <w:tabs>
          <w:tab w:val="clear" w:pos="992"/>
          <w:tab w:val="left" w:pos="993"/>
        </w:tabs>
        <w:ind w:firstLine="709"/>
        <w:rPr>
          <w:lang w:eastAsia="ru-RU"/>
        </w:rPr>
      </w:pPr>
      <w:r>
        <w:rPr>
          <w:lang w:eastAsia="ru-RU"/>
        </w:rPr>
        <w:t>- определение порядка принятия решений при управлении валютным риском;</w:t>
      </w:r>
    </w:p>
    <w:p w:rsidR="00CA5E7A" w:rsidRDefault="00A36422">
      <w:pPr>
        <w:pStyle w:val="a"/>
        <w:numPr>
          <w:ilvl w:val="0"/>
          <w:numId w:val="0"/>
        </w:numPr>
        <w:tabs>
          <w:tab w:val="clear" w:pos="992"/>
          <w:tab w:val="left" w:pos="993"/>
        </w:tabs>
        <w:ind w:firstLine="709"/>
        <w:rPr>
          <w:lang w:eastAsia="ru-RU"/>
        </w:rPr>
      </w:pPr>
      <w:r>
        <w:rPr>
          <w:lang w:eastAsia="ru-RU"/>
        </w:rPr>
        <w:t xml:space="preserve">- оценка </w:t>
      </w:r>
      <w:r>
        <w:rPr>
          <w:color w:val="000000"/>
          <w:lang w:eastAsia="ru-RU" w:bidi="ru-RU"/>
        </w:rPr>
        <w:t xml:space="preserve">(измерение) </w:t>
      </w:r>
      <w:r>
        <w:rPr>
          <w:lang w:eastAsia="ru-RU"/>
        </w:rPr>
        <w:t>валютного риска, определение его значимости;</w:t>
      </w:r>
    </w:p>
    <w:p w:rsidR="00CA5E7A" w:rsidRDefault="00A36422">
      <w:pPr>
        <w:pStyle w:val="a"/>
        <w:numPr>
          <w:ilvl w:val="0"/>
          <w:numId w:val="0"/>
        </w:numPr>
        <w:tabs>
          <w:tab w:val="clear" w:pos="992"/>
          <w:tab w:val="left" w:pos="993"/>
        </w:tabs>
        <w:ind w:firstLine="709"/>
        <w:rPr>
          <w:lang w:eastAsia="ru-RU"/>
        </w:rPr>
      </w:pPr>
      <w:r>
        <w:rPr>
          <w:lang w:eastAsia="ru-RU"/>
        </w:rPr>
        <w:t>- установление взаимосвязи между валютным риском и другими рисками с целью оценки воздействия мероприятий по управлению валютным риском на уровень реализации других рисков;</w:t>
      </w:r>
    </w:p>
    <w:p w:rsidR="00CA5E7A" w:rsidRDefault="00A36422">
      <w:pPr>
        <w:pStyle w:val="a"/>
        <w:numPr>
          <w:ilvl w:val="0"/>
          <w:numId w:val="0"/>
        </w:numPr>
        <w:tabs>
          <w:tab w:val="clear" w:pos="992"/>
          <w:tab w:val="left" w:pos="993"/>
        </w:tabs>
        <w:ind w:firstLine="709"/>
        <w:rPr>
          <w:color w:val="000000"/>
          <w:lang w:eastAsia="ru-RU" w:bidi="ru-RU"/>
        </w:rPr>
      </w:pPr>
      <w:r>
        <w:rPr>
          <w:lang w:eastAsia="ru-RU"/>
        </w:rPr>
        <w:t>- </w:t>
      </w:r>
      <w:r>
        <w:rPr>
          <w:color w:val="000000"/>
          <w:lang w:eastAsia="ru-RU" w:bidi="ru-RU"/>
        </w:rPr>
        <w:t>разработка, контроль за корректностью и совершенствование методологии управления валютным риском;</w:t>
      </w:r>
    </w:p>
    <w:p w:rsidR="00CA5E7A" w:rsidRDefault="00A36422">
      <w:pPr>
        <w:pStyle w:val="a"/>
        <w:numPr>
          <w:ilvl w:val="0"/>
          <w:numId w:val="0"/>
        </w:numPr>
        <w:tabs>
          <w:tab w:val="clear" w:pos="992"/>
          <w:tab w:val="left" w:pos="993"/>
        </w:tabs>
        <w:ind w:firstLine="709"/>
        <w:rPr>
          <w:lang w:eastAsia="ru-RU"/>
        </w:rPr>
      </w:pPr>
      <w:r>
        <w:rPr>
          <w:lang w:eastAsia="ru-RU"/>
        </w:rPr>
        <w:t>- установление лимитов валютного риска, мониторинг и контроль за их соблюдением;</w:t>
      </w:r>
    </w:p>
    <w:p w:rsidR="00CA5E7A" w:rsidRDefault="00A36422">
      <w:pPr>
        <w:pStyle w:val="a"/>
        <w:numPr>
          <w:ilvl w:val="0"/>
          <w:numId w:val="0"/>
        </w:numPr>
        <w:tabs>
          <w:tab w:val="clear" w:pos="992"/>
          <w:tab w:val="left" w:pos="993"/>
        </w:tabs>
        <w:ind w:firstLine="709"/>
        <w:rPr>
          <w:lang w:eastAsia="ru-RU"/>
        </w:rPr>
      </w:pPr>
      <w:r>
        <w:rPr>
          <w:lang w:eastAsia="ru-RU"/>
        </w:rPr>
        <w:t>- в</w:t>
      </w:r>
      <w:r>
        <w:rPr>
          <w:color w:val="000000"/>
          <w:lang w:eastAsia="ru-RU" w:bidi="ru-RU"/>
        </w:rPr>
        <w:t>недрение автоматизированных программных решений в области управления валютным риском</w:t>
      </w:r>
      <w:r>
        <w:rPr>
          <w:lang w:eastAsia="ru-RU"/>
        </w:rPr>
        <w:t>.</w:t>
      </w:r>
    </w:p>
    <w:p w:rsidR="00CA5E7A" w:rsidRDefault="00A36422">
      <w:pPr>
        <w:pStyle w:val="2"/>
        <w:numPr>
          <w:ilvl w:val="1"/>
          <w:numId w:val="4"/>
        </w:numPr>
        <w:spacing w:before="120"/>
        <w:jc w:val="both"/>
      </w:pPr>
      <w:bookmarkStart w:id="9" w:name="_Toc9"/>
      <w:r>
        <w:t>Принципы управления валютным риском</w:t>
      </w:r>
      <w:bookmarkEnd w:id="9"/>
    </w:p>
    <w:p w:rsidR="00CA5E7A" w:rsidRDefault="00A36422">
      <w:pPr>
        <w:jc w:val="both"/>
        <w:rPr>
          <w:sz w:val="28"/>
          <w:szCs w:val="28"/>
          <w:lang w:eastAsia="de-DE"/>
        </w:rPr>
      </w:pPr>
      <w:r>
        <w:rPr>
          <w:sz w:val="28"/>
          <w:szCs w:val="28"/>
          <w:lang w:eastAsia="de-DE"/>
        </w:rPr>
        <w:t>Дополнительно к основным принципам управления рисками, определенным в Политике и Положении УФР, настоящим Положением устанавливаются следующие принципы управления валютным риском:</w:t>
      </w:r>
    </w:p>
    <w:p w:rsidR="00CA5E7A" w:rsidRDefault="00A36422">
      <w:pPr>
        <w:pStyle w:val="a"/>
        <w:numPr>
          <w:ilvl w:val="2"/>
          <w:numId w:val="4"/>
        </w:numPr>
        <w:tabs>
          <w:tab w:val="clear" w:pos="992"/>
          <w:tab w:val="left" w:pos="993"/>
          <w:tab w:val="left" w:pos="1560"/>
        </w:tabs>
        <w:ind w:left="0" w:firstLine="709"/>
      </w:pPr>
      <w:r>
        <w:t>Централизация функции управления валютным риском Группы Газпром на уровне ПАО «Газпром».</w:t>
      </w:r>
    </w:p>
    <w:p w:rsidR="00CA5E7A" w:rsidRDefault="00A36422">
      <w:pPr>
        <w:pStyle w:val="18"/>
        <w:numPr>
          <w:ilvl w:val="2"/>
          <w:numId w:val="4"/>
        </w:numPr>
        <w:shd w:val="clear" w:color="auto" w:fill="auto"/>
        <w:tabs>
          <w:tab w:val="left" w:pos="1560"/>
        </w:tabs>
        <w:ind w:left="0" w:firstLine="709"/>
      </w:pPr>
      <w:r>
        <w:t>Принцип разделения обязанностей – разграничение функций между работниками и структурными подразделениями ПАО «Газпром», МРГ и Общества для исключения совмещения одним лицом (структурным подразделением) функций авторизации (получения работниками разрешения на совершение операции), совершения, учета операций с определенными активами и контроля за их исполнением, а также разделение функций и ответственности между ПАО «Газпром», МРГ и Обществом – участниками процесса управления валютным риском.</w:t>
      </w:r>
    </w:p>
    <w:p w:rsidR="00CA5E7A" w:rsidRDefault="00A36422">
      <w:pPr>
        <w:pStyle w:val="18"/>
        <w:numPr>
          <w:ilvl w:val="2"/>
          <w:numId w:val="4"/>
        </w:numPr>
        <w:shd w:val="clear" w:color="auto" w:fill="auto"/>
        <w:tabs>
          <w:tab w:val="left" w:pos="1560"/>
        </w:tabs>
        <w:ind w:left="0" w:firstLine="709"/>
      </w:pPr>
      <w:r>
        <w:lastRenderedPageBreak/>
        <w:t>Обеспечение «трех линий защиты»</w:t>
      </w:r>
      <w:r>
        <w:rPr>
          <w:rStyle w:val="aff2"/>
        </w:rPr>
        <w:footnoteReference w:id="3"/>
      </w:r>
      <w:r>
        <w:t xml:space="preserve"> – управление валютным риском в Обществе осуществляется на уровнях владельцев валютного риска, ПУРиВК ПАО «Газпром», МРГ и Общества, подразделения (работника) внутреннего аудита </w:t>
      </w:r>
      <w:r>
        <w:rPr>
          <w:lang w:eastAsia="de-DE"/>
        </w:rPr>
        <w:t>Общества</w:t>
      </w:r>
      <w:r>
        <w:t>;</w:t>
      </w:r>
    </w:p>
    <w:p w:rsidR="00CA5E7A" w:rsidRDefault="00A36422">
      <w:pPr>
        <w:pStyle w:val="18"/>
        <w:numPr>
          <w:ilvl w:val="2"/>
          <w:numId w:val="4"/>
        </w:numPr>
        <w:shd w:val="clear" w:color="auto" w:fill="auto"/>
        <w:tabs>
          <w:tab w:val="left" w:pos="1560"/>
        </w:tabs>
        <w:ind w:left="0" w:firstLine="709"/>
        <w:rPr>
          <w:lang w:eastAsia="de-DE"/>
        </w:rPr>
      </w:pPr>
      <w:r>
        <w:rPr>
          <w:lang w:eastAsia="de-DE"/>
        </w:rPr>
        <w:t xml:space="preserve">Совершенствование деятельности – управление валютным риском </w:t>
      </w:r>
      <w:r>
        <w:rPr>
          <w:spacing w:val="-4"/>
          <w:lang w:eastAsia="de-DE"/>
        </w:rPr>
        <w:t>направлено на постоянное повышение эффективности деятельности</w:t>
      </w:r>
      <w:r>
        <w:rPr>
          <w:lang w:eastAsia="de-DE"/>
        </w:rPr>
        <w:t>, оптимизацию бизнес-процессов и организационной структуры Общества, обеспечивающих достижение целей Общества.</w:t>
      </w:r>
    </w:p>
    <w:p w:rsidR="00CA5E7A" w:rsidRDefault="00A36422">
      <w:pPr>
        <w:pStyle w:val="18"/>
        <w:numPr>
          <w:ilvl w:val="2"/>
          <w:numId w:val="4"/>
        </w:numPr>
        <w:shd w:val="clear" w:color="auto" w:fill="auto"/>
        <w:tabs>
          <w:tab w:val="left" w:pos="1560"/>
        </w:tabs>
        <w:ind w:left="0" w:firstLine="709"/>
        <w:rPr>
          <w:lang w:eastAsia="de-DE"/>
        </w:rPr>
      </w:pPr>
      <w:r>
        <w:rPr>
          <w:lang w:eastAsia="de-DE"/>
        </w:rPr>
        <w:t>Интеграция в бизнес-процессы – управление валютным риском является неотъемлемой частью бизнес-процессов Общества, в том числе принятия управленческих решений.</w:t>
      </w:r>
    </w:p>
    <w:p w:rsidR="00CA5E7A" w:rsidRDefault="00A36422">
      <w:pPr>
        <w:pStyle w:val="18"/>
        <w:numPr>
          <w:ilvl w:val="2"/>
          <w:numId w:val="4"/>
        </w:numPr>
        <w:shd w:val="clear" w:color="auto" w:fill="auto"/>
        <w:tabs>
          <w:tab w:val="left" w:pos="1560"/>
        </w:tabs>
        <w:ind w:left="0" w:firstLine="709"/>
        <w:rPr>
          <w:lang w:eastAsia="de-DE"/>
        </w:rPr>
      </w:pPr>
      <w:r>
        <w:rPr>
          <w:lang w:eastAsia="de-DE"/>
        </w:rPr>
        <w:t>Осведомленность и вовлеченность – руководители и иные работники Общества, принимающие участие в управлении валютным риском и соответствующих бизнес-процессах Общества, должны быть своевременно проинформированы о валютном риске.</w:t>
      </w:r>
    </w:p>
    <w:p w:rsidR="00CA5E7A" w:rsidRDefault="00A36422">
      <w:pPr>
        <w:pStyle w:val="18"/>
        <w:numPr>
          <w:ilvl w:val="2"/>
          <w:numId w:val="4"/>
        </w:numPr>
        <w:shd w:val="clear" w:color="auto" w:fill="auto"/>
        <w:tabs>
          <w:tab w:val="left" w:pos="1560"/>
        </w:tabs>
        <w:ind w:left="0" w:firstLine="709"/>
        <w:rPr>
          <w:lang w:eastAsia="de-DE"/>
        </w:rPr>
      </w:pPr>
      <w:r>
        <w:rPr>
          <w:lang w:eastAsia="de-DE"/>
        </w:rPr>
        <w:t>Обязанность соблюдения требований валютного законодательства при управлении валютным риском.</w:t>
      </w:r>
    </w:p>
    <w:p w:rsidR="00CA5E7A" w:rsidRDefault="00A36422">
      <w:pPr>
        <w:pStyle w:val="18"/>
        <w:numPr>
          <w:ilvl w:val="2"/>
          <w:numId w:val="4"/>
        </w:numPr>
        <w:shd w:val="clear" w:color="auto" w:fill="auto"/>
        <w:tabs>
          <w:tab w:val="left" w:pos="1560"/>
        </w:tabs>
        <w:ind w:left="0" w:firstLine="709"/>
        <w:rPr>
          <w:lang w:eastAsia="de-DE"/>
        </w:rPr>
      </w:pPr>
      <w:r>
        <w:rPr>
          <w:lang w:eastAsia="de-DE"/>
        </w:rPr>
        <w:t>Учет, анализ, адаптация и внедрение передовых российских и международных подходов к управлению валютным риском.</w:t>
      </w:r>
    </w:p>
    <w:p w:rsidR="00CA5E7A" w:rsidRDefault="00A36422">
      <w:pPr>
        <w:pStyle w:val="18"/>
        <w:numPr>
          <w:ilvl w:val="2"/>
          <w:numId w:val="4"/>
        </w:numPr>
        <w:shd w:val="clear" w:color="auto" w:fill="auto"/>
        <w:tabs>
          <w:tab w:val="left" w:pos="1560"/>
        </w:tabs>
        <w:ind w:left="0" w:firstLine="709"/>
      </w:pPr>
      <w:r>
        <w:rPr>
          <w:lang w:eastAsia="de-DE"/>
        </w:rPr>
        <w:t>Запрет транзакций с производными финансовыми инструментами и валютных операций в спекулятивных целях.</w:t>
      </w:r>
    </w:p>
    <w:p w:rsidR="00CA5E7A" w:rsidRDefault="00A36422">
      <w:pPr>
        <w:pStyle w:val="2"/>
        <w:numPr>
          <w:ilvl w:val="1"/>
          <w:numId w:val="4"/>
        </w:numPr>
        <w:spacing w:before="120"/>
        <w:ind w:left="0" w:firstLine="709"/>
        <w:jc w:val="both"/>
      </w:pPr>
      <w:bookmarkStart w:id="10" w:name="_Toc10"/>
      <w:r>
        <w:t>Участники управления валютным риском. Распределение полномочий</w:t>
      </w:r>
      <w:bookmarkEnd w:id="10"/>
    </w:p>
    <w:p w:rsidR="00CA5E7A" w:rsidRDefault="00A36422">
      <w:pPr>
        <w:jc w:val="both"/>
      </w:pPr>
      <w:r>
        <w:rPr>
          <w:sz w:val="28"/>
          <w:szCs w:val="28"/>
        </w:rPr>
        <w:t>Перечень участников управления валютным риском</w:t>
      </w:r>
      <w:r>
        <w:rPr>
          <w:sz w:val="28"/>
        </w:rPr>
        <w:t>,</w:t>
      </w:r>
      <w:r>
        <w:rPr>
          <w:sz w:val="28"/>
          <w:szCs w:val="28"/>
        </w:rPr>
        <w:t xml:space="preserve"> распределение функций и полномочий между участниками управления валютным риском Общества должны соответствовать требованиям Политики, Положения УФР и Положения по управлению валютным риском Группы Газпром.</w:t>
      </w:r>
    </w:p>
    <w:p w:rsidR="00CA5E7A" w:rsidRDefault="00A36422">
      <w:pPr>
        <w:jc w:val="both"/>
        <w:rPr>
          <w:sz w:val="28"/>
          <w:szCs w:val="28"/>
        </w:rPr>
      </w:pPr>
      <w:r>
        <w:rPr>
          <w:sz w:val="28"/>
          <w:szCs w:val="28"/>
        </w:rPr>
        <w:t>2.3.1.</w:t>
      </w:r>
      <w:r>
        <w:t xml:space="preserve"> </w:t>
      </w:r>
      <w:r>
        <w:rPr>
          <w:sz w:val="28"/>
          <w:szCs w:val="28"/>
        </w:rPr>
        <w:t>Основными участниками процесса управления валютным риском Общества являются:</w:t>
      </w:r>
    </w:p>
    <w:p w:rsidR="00CA5E7A" w:rsidRDefault="00A36422">
      <w:pPr>
        <w:jc w:val="both"/>
        <w:rPr>
          <w:sz w:val="28"/>
          <w:szCs w:val="28"/>
        </w:rPr>
      </w:pPr>
      <w:r>
        <w:rPr>
          <w:sz w:val="28"/>
          <w:szCs w:val="28"/>
        </w:rPr>
        <w:t>- орган управления (Совет директоров/генеральный директор в соответствии с уставом Общества);</w:t>
      </w:r>
    </w:p>
    <w:p w:rsidR="00CA5E7A" w:rsidRDefault="00A36422">
      <w:pPr>
        <w:jc w:val="both"/>
        <w:rPr>
          <w:sz w:val="28"/>
          <w:szCs w:val="28"/>
        </w:rPr>
      </w:pPr>
      <w:r>
        <w:rPr>
          <w:sz w:val="28"/>
          <w:szCs w:val="28"/>
        </w:rPr>
        <w:t>- владелец валютного риска;</w:t>
      </w:r>
    </w:p>
    <w:p w:rsidR="00CA5E7A" w:rsidRDefault="00A36422">
      <w:pPr>
        <w:jc w:val="both"/>
        <w:rPr>
          <w:sz w:val="28"/>
          <w:szCs w:val="28"/>
        </w:rPr>
      </w:pPr>
      <w:r>
        <w:rPr>
          <w:sz w:val="28"/>
          <w:szCs w:val="28"/>
        </w:rPr>
        <w:t>- совладелец валютного риска;</w:t>
      </w:r>
    </w:p>
    <w:p w:rsidR="00CA5E7A" w:rsidRDefault="00A36422">
      <w:pPr>
        <w:jc w:val="both"/>
        <w:rPr>
          <w:sz w:val="28"/>
          <w:szCs w:val="28"/>
        </w:rPr>
      </w:pPr>
      <w:r>
        <w:rPr>
          <w:sz w:val="28"/>
          <w:szCs w:val="28"/>
        </w:rPr>
        <w:t>- ПУРиВК Общества;</w:t>
      </w:r>
    </w:p>
    <w:p w:rsidR="00CA5E7A" w:rsidRDefault="00A36422">
      <w:pPr>
        <w:jc w:val="both"/>
        <w:rPr>
          <w:sz w:val="28"/>
          <w:szCs w:val="28"/>
        </w:rPr>
      </w:pPr>
      <w:r>
        <w:rPr>
          <w:sz w:val="28"/>
          <w:szCs w:val="28"/>
        </w:rPr>
        <w:t>- подразделение (работник) внутреннего аудита Общества.</w:t>
      </w:r>
    </w:p>
    <w:p w:rsidR="00CA5E7A" w:rsidRDefault="00A36422">
      <w:pPr>
        <w:jc w:val="both"/>
        <w:rPr>
          <w:sz w:val="28"/>
          <w:szCs w:val="28"/>
        </w:rPr>
      </w:pPr>
      <w:r>
        <w:rPr>
          <w:sz w:val="28"/>
          <w:szCs w:val="28"/>
        </w:rPr>
        <w:lastRenderedPageBreak/>
        <w:t>2.3.2. Настоящее Положение уточняет следующие функции владельца валютного риска в процессе управления валютным риском:</w:t>
      </w:r>
    </w:p>
    <w:p w:rsidR="00CA5E7A" w:rsidRDefault="00A36422">
      <w:pPr>
        <w:pStyle w:val="18"/>
        <w:shd w:val="clear" w:color="auto" w:fill="auto"/>
        <w:ind w:firstLine="709"/>
      </w:pPr>
      <w:r>
        <w:t>- разрабатывает и поддерживает в актуальном состоянии локальные нормативные акты в области управления валютным риском Общества;</w:t>
      </w:r>
    </w:p>
    <w:p w:rsidR="00CA5E7A" w:rsidRDefault="00A36422">
      <w:pPr>
        <w:pStyle w:val="18"/>
        <w:shd w:val="clear" w:color="auto" w:fill="auto"/>
        <w:ind w:firstLine="709"/>
      </w:pPr>
      <w:r>
        <w:t>- обеспечивает управление валютным риском Общества;</w:t>
      </w:r>
    </w:p>
    <w:p w:rsidR="00CA5E7A" w:rsidRDefault="00A36422">
      <w:pPr>
        <w:pStyle w:val="18"/>
        <w:shd w:val="clear" w:color="auto" w:fill="auto"/>
        <w:ind w:firstLine="709"/>
      </w:pPr>
      <w:r>
        <w:t xml:space="preserve">- разрабатывает и актуализирует сценарии стресс-тестирования; </w:t>
      </w:r>
    </w:p>
    <w:p w:rsidR="00CA5E7A" w:rsidRDefault="00A36422">
      <w:pPr>
        <w:pStyle w:val="18"/>
        <w:shd w:val="clear" w:color="auto" w:fill="auto"/>
        <w:ind w:firstLine="709"/>
      </w:pPr>
      <w:r>
        <w:t>- проводит идентификацию и оценку валютного риска Общества;</w:t>
      </w:r>
    </w:p>
    <w:p w:rsidR="00CA5E7A" w:rsidRDefault="00A36422">
      <w:pPr>
        <w:pStyle w:val="18"/>
        <w:shd w:val="clear" w:color="auto" w:fill="auto"/>
        <w:ind w:firstLine="709"/>
      </w:pPr>
      <w:r>
        <w:t xml:space="preserve">- разрабатывает (на основании утвержденного Советом директоров ПАО «Газпром» предельно допустимого уровня валютного риска) предложения по допустимому уровню и предельно допустимому уровню валютного риска Общества, передает их на рассмотрение органу управления </w:t>
      </w:r>
      <w:r>
        <w:rPr>
          <w:spacing w:val="-8"/>
        </w:rPr>
        <w:t>Общества</w:t>
      </w:r>
      <w:r>
        <w:t>;</w:t>
      </w:r>
    </w:p>
    <w:p w:rsidR="00CA5E7A" w:rsidRDefault="00A36422">
      <w:pPr>
        <w:pStyle w:val="18"/>
        <w:shd w:val="clear" w:color="auto" w:fill="auto"/>
        <w:ind w:firstLine="709"/>
      </w:pPr>
      <w:r>
        <w:t>- осуществляет мониторинг соблюдения лимитов валютного риска Общества;</w:t>
      </w:r>
    </w:p>
    <w:p w:rsidR="00CA5E7A" w:rsidRDefault="00A36422">
      <w:pPr>
        <w:pStyle w:val="18"/>
        <w:shd w:val="clear" w:color="auto" w:fill="auto"/>
        <w:ind w:firstLine="709"/>
      </w:pPr>
      <w:r>
        <w:t>- разрабатывает способы реагирования на валютный риск Общества, разрабатывает и реализует мероприятия по управлению валютным риском Общества и мероприятия по смягчению негативных последствий реализации валютного риска Общества;</w:t>
      </w:r>
    </w:p>
    <w:p w:rsidR="00CA5E7A" w:rsidRDefault="00A36422">
      <w:pPr>
        <w:pStyle w:val="18"/>
        <w:shd w:val="clear" w:color="auto" w:fill="auto"/>
        <w:ind w:firstLine="709"/>
      </w:pPr>
      <w:r>
        <w:t>- осуществляет мониторинг валютного риска Общества и мероприятий по управлению валютным риском, в том числе:</w:t>
      </w:r>
    </w:p>
    <w:p w:rsidR="00CA5E7A" w:rsidRDefault="00A36422">
      <w:pPr>
        <w:pStyle w:val="18"/>
        <w:shd w:val="clear" w:color="auto" w:fill="auto"/>
        <w:ind w:firstLine="709"/>
      </w:pPr>
      <w:r>
        <w:t>- мониторинг изменения валютных курсов на рынке;</w:t>
      </w:r>
    </w:p>
    <w:p w:rsidR="00CA5E7A" w:rsidRDefault="00A36422">
      <w:pPr>
        <w:pStyle w:val="18"/>
        <w:shd w:val="clear" w:color="auto" w:fill="auto"/>
        <w:ind w:firstLine="709"/>
      </w:pPr>
      <w:r>
        <w:t>- анализ и управление состоянием открытых валютных позиций;</w:t>
      </w:r>
    </w:p>
    <w:p w:rsidR="00CA5E7A" w:rsidRDefault="00A36422">
      <w:pPr>
        <w:pStyle w:val="18"/>
        <w:shd w:val="clear" w:color="auto" w:fill="auto"/>
        <w:ind w:firstLine="709"/>
      </w:pPr>
      <w:r>
        <w:t>- сбор данных и формирование управленческой отчетности по валютному риску Общества;</w:t>
      </w:r>
    </w:p>
    <w:p w:rsidR="00CA5E7A" w:rsidRDefault="00A36422">
      <w:pPr>
        <w:pStyle w:val="18"/>
        <w:shd w:val="clear" w:color="auto" w:fill="auto"/>
        <w:ind w:firstLine="709"/>
      </w:pPr>
      <w:r>
        <w:t>- оперативное информирование владельца валютного риска МРГ об уровне валютного риска Общества в случаях нарушения лимитов валютного риска Общества;</w:t>
      </w:r>
    </w:p>
    <w:p w:rsidR="00CA5E7A" w:rsidRDefault="00A36422">
      <w:pPr>
        <w:pStyle w:val="18"/>
        <w:shd w:val="clear" w:color="auto" w:fill="auto"/>
        <w:ind w:firstLine="709"/>
      </w:pPr>
      <w:r>
        <w:t>- осуществляет мониторинг соблюдения требований внутренних документов Общества в области управления валютным риском Общества и эффективности управления валютным риском Общества;</w:t>
      </w:r>
    </w:p>
    <w:p w:rsidR="00CA5E7A" w:rsidRDefault="00A36422">
      <w:pPr>
        <w:pStyle w:val="18"/>
        <w:shd w:val="clear" w:color="auto" w:fill="auto"/>
        <w:ind w:firstLine="709"/>
      </w:pPr>
      <w:r>
        <w:t>- осуществляет подготовку отчетности по валютному риску Общества. Владелец валютного риска Общества представляет отчетность по валютному риску владельцу валютного риска МРГ;</w:t>
      </w:r>
    </w:p>
    <w:p w:rsidR="00CA5E7A" w:rsidRDefault="00A36422">
      <w:pPr>
        <w:pStyle w:val="18"/>
        <w:shd w:val="clear" w:color="auto" w:fill="auto"/>
        <w:ind w:firstLine="709"/>
      </w:pPr>
      <w:r>
        <w:t>- осуществляет подготовку информации по валютному риску Общества для целей публичного раскрытия такой информации.</w:t>
      </w:r>
    </w:p>
    <w:p w:rsidR="00CA5E7A" w:rsidRDefault="00A36422">
      <w:pPr>
        <w:pStyle w:val="18"/>
        <w:widowControl/>
        <w:shd w:val="clear" w:color="auto" w:fill="auto"/>
        <w:ind w:firstLine="709"/>
      </w:pPr>
      <w:r>
        <w:t>Совладельцы валютного риска выполняют функции в пределах своей компетенции, определенной внутренними распорядительными документами Общества, разработанными на основании локальных нормативных документов ПАО «Газпром», МРГ.</w:t>
      </w:r>
    </w:p>
    <w:p w:rsidR="00CA5E7A" w:rsidRDefault="00A36422">
      <w:pPr>
        <w:pStyle w:val="a"/>
        <w:numPr>
          <w:ilvl w:val="0"/>
          <w:numId w:val="0"/>
        </w:numPr>
        <w:ind w:firstLine="709"/>
      </w:pPr>
      <w:r>
        <w:rPr>
          <w:color w:val="000000"/>
          <w:lang w:eastAsia="ru-RU" w:bidi="ru-RU"/>
        </w:rPr>
        <w:t xml:space="preserve">Подразделение (работник) внутреннего аудита </w:t>
      </w:r>
      <w:r>
        <w:t xml:space="preserve">Общества </w:t>
      </w:r>
      <w:r>
        <w:rPr>
          <w:color w:val="000000"/>
          <w:lang w:eastAsia="ru-RU" w:bidi="ru-RU"/>
        </w:rPr>
        <w:t xml:space="preserve">осуществляет оценку надежности и эффективности управления валютным риском </w:t>
      </w:r>
      <w:r>
        <w:t>Общества</w:t>
      </w:r>
      <w:r>
        <w:rPr>
          <w:color w:val="000000"/>
          <w:lang w:eastAsia="ru-RU" w:bidi="ru-RU"/>
        </w:rPr>
        <w:t>.</w:t>
      </w:r>
    </w:p>
    <w:p w:rsidR="00CA5E7A" w:rsidRDefault="00A36422">
      <w:pPr>
        <w:pStyle w:val="a"/>
        <w:numPr>
          <w:ilvl w:val="0"/>
          <w:numId w:val="0"/>
        </w:numPr>
        <w:ind w:firstLine="709"/>
      </w:pPr>
      <w:r>
        <w:t xml:space="preserve">При необходимости по запросу владельцев (совладельцев) валютного </w:t>
      </w:r>
      <w:r>
        <w:rPr>
          <w:spacing w:val="-4"/>
        </w:rPr>
        <w:t xml:space="preserve">риска или в связи с указаниями органов управления ПАО «Газпром», МРГ и Общества </w:t>
      </w:r>
      <w:r>
        <w:t xml:space="preserve">к процессу управления валютным риском могут быть привлечены структурные подразделения и работники Общества, не указанные в разделе 2.3.1 </w:t>
      </w:r>
      <w:r>
        <w:lastRenderedPageBreak/>
        <w:t>настоящего Положения, в пределах задач и функций, определенных локальными нормативными актами Общества.</w:t>
      </w:r>
    </w:p>
    <w:p w:rsidR="00CA5E7A" w:rsidRDefault="00A36422">
      <w:pPr>
        <w:pStyle w:val="10"/>
        <w:numPr>
          <w:ilvl w:val="0"/>
          <w:numId w:val="4"/>
        </w:numPr>
        <w:spacing w:before="240" w:after="120" w:line="240" w:lineRule="auto"/>
        <w:ind w:left="0" w:firstLine="709"/>
        <w:jc w:val="both"/>
      </w:pPr>
      <w:bookmarkStart w:id="11" w:name="_Toc11"/>
      <w:r>
        <w:t xml:space="preserve">Компоненты управления валютным риском </w:t>
      </w:r>
      <w:bookmarkEnd w:id="11"/>
    </w:p>
    <w:p w:rsidR="00CA5E7A" w:rsidRDefault="00A36422">
      <w:pPr>
        <w:pStyle w:val="2"/>
        <w:numPr>
          <w:ilvl w:val="1"/>
          <w:numId w:val="4"/>
        </w:numPr>
        <w:spacing w:before="120"/>
        <w:jc w:val="both"/>
      </w:pPr>
      <w:bookmarkStart w:id="12" w:name="_Toc12"/>
      <w:r>
        <w:t xml:space="preserve">Постановка целей при управлении валютным риском </w:t>
      </w:r>
      <w:bookmarkEnd w:id="12"/>
    </w:p>
    <w:p w:rsidR="00CA5E7A" w:rsidRDefault="00A36422">
      <w:pPr>
        <w:pStyle w:val="ConsPlusNormal"/>
        <w:ind w:firstLine="709"/>
        <w:jc w:val="both"/>
        <w:rPr>
          <w:sz w:val="28"/>
          <w:szCs w:val="28"/>
        </w:rPr>
      </w:pPr>
      <w:r>
        <w:rPr>
          <w:sz w:val="28"/>
          <w:szCs w:val="28"/>
        </w:rPr>
        <w:t>3.1.1. Основные положения в части внутренней контрольной среды в рамках управления валютным риском соответствуют положениям Политики. Дополнительно при постановке целей при управлении валютным риском предусматривается:</w:t>
      </w:r>
    </w:p>
    <w:p w:rsidR="00CA5E7A" w:rsidRDefault="00A36422">
      <w:pPr>
        <w:pStyle w:val="18"/>
        <w:widowControl/>
        <w:shd w:val="clear" w:color="auto" w:fill="auto"/>
        <w:ind w:firstLine="709"/>
      </w:pPr>
      <w:r>
        <w:t>- определение допустимого уровня валютного риска для Общества;</w:t>
      </w:r>
    </w:p>
    <w:p w:rsidR="00CA5E7A" w:rsidRDefault="00A36422">
      <w:pPr>
        <w:pStyle w:val="18"/>
        <w:widowControl/>
        <w:shd w:val="clear" w:color="auto" w:fill="auto"/>
        <w:ind w:firstLine="709"/>
      </w:pPr>
      <w:r>
        <w:t>- определение лимитов валютного риска для Общества с учетом лимитов валютного риска, установленных в соответствии с нормативными документами ПАО «Газпром»;</w:t>
      </w:r>
    </w:p>
    <w:p w:rsidR="00CA5E7A" w:rsidRDefault="00A36422">
      <w:pPr>
        <w:pStyle w:val="18"/>
        <w:widowControl/>
        <w:shd w:val="clear" w:color="auto" w:fill="auto"/>
        <w:ind w:firstLine="709"/>
      </w:pPr>
      <w:r>
        <w:t>- распределение лимитов валютного риска.</w:t>
      </w:r>
    </w:p>
    <w:p w:rsidR="00CA5E7A" w:rsidRDefault="00A36422">
      <w:pPr>
        <w:pStyle w:val="18"/>
        <w:widowControl/>
        <w:numPr>
          <w:ilvl w:val="2"/>
          <w:numId w:val="5"/>
        </w:numPr>
        <w:shd w:val="clear" w:color="auto" w:fill="auto"/>
        <w:tabs>
          <w:tab w:val="left" w:pos="1234"/>
        </w:tabs>
        <w:ind w:left="0" w:firstLine="709"/>
      </w:pPr>
      <w:r>
        <w:t>Лимиты валютного риска устанавливаются в отношении операций с разрешенными финансовыми инструментами, чувствительными к изменению валютных курсов. Лимиты валютного риска могут быть установлены в разрезе отдельных операций (или портфелей финансовых инструментов) и по всем операциям с финансовыми инструментами, чувствительными к изменению валютных курсов.</w:t>
      </w:r>
    </w:p>
    <w:p w:rsidR="00CA5E7A" w:rsidRDefault="00A36422">
      <w:pPr>
        <w:pStyle w:val="18"/>
        <w:widowControl/>
        <w:numPr>
          <w:ilvl w:val="2"/>
          <w:numId w:val="5"/>
        </w:numPr>
        <w:shd w:val="clear" w:color="auto" w:fill="auto"/>
        <w:tabs>
          <w:tab w:val="left" w:pos="1234"/>
        </w:tabs>
        <w:ind w:left="0" w:firstLine="709"/>
      </w:pPr>
      <w:r>
        <w:t>Устанавливается общее ограничение валютного риска – допустимый уровень валютного риска для Группы Газпром межрегионгаз на основании допустимого уровня валютного риска, утвержденного Советом директоров ПАО «Газпром» для Группы Газпром. Коллегиальный орган ПАО «Газпром» утверждает лимиты валютного риска МРГ и Общества.</w:t>
      </w:r>
    </w:p>
    <w:p w:rsidR="00CA5E7A" w:rsidRDefault="00A36422">
      <w:pPr>
        <w:pStyle w:val="18"/>
        <w:shd w:val="clear" w:color="auto" w:fill="auto"/>
        <w:tabs>
          <w:tab w:val="left" w:pos="709"/>
        </w:tabs>
        <w:ind w:firstLine="709"/>
      </w:pPr>
      <w:r>
        <w:t>В качестве лимитов валютного риска владелец риска разрабатывает предложения по определению КИР, позволяющих осуществлять управление валютным риском. Согласованные с ПУРиВК Общества предложения направляются ПУРиВК Общества на рассмотрение в ПУРиВК МРГ.</w:t>
      </w:r>
    </w:p>
    <w:p w:rsidR="00CA5E7A" w:rsidRDefault="00A36422">
      <w:pPr>
        <w:pStyle w:val="18"/>
        <w:widowControl/>
        <w:numPr>
          <w:ilvl w:val="2"/>
          <w:numId w:val="5"/>
        </w:numPr>
        <w:shd w:val="clear" w:color="auto" w:fill="auto"/>
        <w:tabs>
          <w:tab w:val="left" w:pos="1234"/>
        </w:tabs>
        <w:ind w:left="0" w:firstLine="709"/>
      </w:pPr>
      <w:r>
        <w:t xml:space="preserve">Предложения по лимитам валютного риска, КИР, допустимому уровню валютного риска Общества разрабатываются владельцем валютного риска Общества, согласовываются с ПУРиВК Общества и направляются владельцем валютного риска Общества владельцу валютного риска МРГ. </w:t>
      </w:r>
    </w:p>
    <w:p w:rsidR="00CA5E7A" w:rsidRDefault="00A36422">
      <w:pPr>
        <w:pStyle w:val="18"/>
        <w:widowControl/>
        <w:numPr>
          <w:ilvl w:val="2"/>
          <w:numId w:val="5"/>
        </w:numPr>
        <w:shd w:val="clear" w:color="auto" w:fill="auto"/>
        <w:tabs>
          <w:tab w:val="left" w:pos="1234"/>
        </w:tabs>
        <w:ind w:left="0" w:firstLine="709"/>
      </w:pPr>
      <w:r>
        <w:t>Владелец валютного риска Общества разрабатывает и согласовывает с ПУРиВК Общества предложения по структуре и определению (пересмотру) значений допустимого уровня валютного риска и отдельных лимитов валютного риска и направляет их на рассмотрение владельцу валютного риска МРГ.</w:t>
      </w:r>
    </w:p>
    <w:p w:rsidR="00CA5E7A" w:rsidRDefault="00A36422">
      <w:pPr>
        <w:pStyle w:val="18"/>
        <w:widowControl/>
        <w:numPr>
          <w:ilvl w:val="2"/>
          <w:numId w:val="5"/>
        </w:numPr>
        <w:shd w:val="clear" w:color="auto" w:fill="auto"/>
        <w:tabs>
          <w:tab w:val="left" w:pos="1234"/>
        </w:tabs>
        <w:ind w:left="0" w:firstLine="709"/>
      </w:pPr>
      <w:r>
        <w:t>Открытые валютные позиции отдельно по Обществу не должны превышать установленных лимитов валютного риска.</w:t>
      </w:r>
    </w:p>
    <w:p w:rsidR="00CA5E7A" w:rsidRDefault="00A36422">
      <w:pPr>
        <w:pStyle w:val="18"/>
        <w:widowControl/>
        <w:numPr>
          <w:ilvl w:val="2"/>
          <w:numId w:val="5"/>
        </w:numPr>
        <w:shd w:val="clear" w:color="auto" w:fill="auto"/>
        <w:tabs>
          <w:tab w:val="left" w:pos="1234"/>
        </w:tabs>
        <w:ind w:left="0" w:firstLine="709"/>
      </w:pPr>
      <w:r>
        <w:t>В целях недопущения принятия валютного риска сверх лимитов валютного риска (в том числе по суммам, срокам) владелец валютного риска проводит оперативный контроль за установленными лимитами валютного риска.</w:t>
      </w:r>
    </w:p>
    <w:p w:rsidR="00CA5E7A" w:rsidRDefault="00A36422">
      <w:pPr>
        <w:pStyle w:val="18"/>
        <w:widowControl/>
        <w:numPr>
          <w:ilvl w:val="2"/>
          <w:numId w:val="5"/>
        </w:numPr>
        <w:shd w:val="clear" w:color="auto" w:fill="auto"/>
        <w:ind w:left="0" w:firstLine="709"/>
      </w:pPr>
      <w:r>
        <w:t xml:space="preserve">Анализ установленных лимитов валютного риска и при необходимости подготовка предложений о пересмотре лимитов валютного риска </w:t>
      </w:r>
      <w:r>
        <w:lastRenderedPageBreak/>
        <w:t>осуществляются владельцем валютного риска на постоянной основе (не реже одного раза в квартал).</w:t>
      </w:r>
    </w:p>
    <w:p w:rsidR="00CA5E7A" w:rsidRDefault="00A36422">
      <w:pPr>
        <w:pStyle w:val="18"/>
        <w:widowControl/>
        <w:numPr>
          <w:ilvl w:val="2"/>
          <w:numId w:val="5"/>
        </w:numPr>
        <w:shd w:val="clear" w:color="auto" w:fill="auto"/>
        <w:ind w:left="0" w:firstLine="709"/>
      </w:pPr>
      <w:r>
        <w:t>Информация о нарушении Обществом установленных лимитов валютного риска незамедлительно доводится до сведения владельца валютного риска МРГ. Случаи нарушения лимитов валютного риска документируются и вносятся в отчетность СУРиВК.</w:t>
      </w:r>
    </w:p>
    <w:p w:rsidR="00CA5E7A" w:rsidRDefault="00A36422">
      <w:pPr>
        <w:pStyle w:val="2"/>
        <w:tabs>
          <w:tab w:val="clear" w:pos="1219"/>
          <w:tab w:val="left" w:pos="709"/>
        </w:tabs>
        <w:spacing w:before="120"/>
        <w:ind w:left="709"/>
        <w:jc w:val="both"/>
      </w:pPr>
      <w:bookmarkStart w:id="13" w:name="_Toc13"/>
      <w:r>
        <w:t>3.2. Идентификация валютного риска</w:t>
      </w:r>
      <w:bookmarkEnd w:id="13"/>
    </w:p>
    <w:p w:rsidR="00CA5E7A" w:rsidRDefault="00A36422">
      <w:pPr>
        <w:pStyle w:val="ConsPlusNormal"/>
        <w:ind w:firstLine="709"/>
        <w:jc w:val="both"/>
        <w:rPr>
          <w:sz w:val="28"/>
          <w:szCs w:val="28"/>
        </w:rPr>
      </w:pPr>
      <w:r>
        <w:rPr>
          <w:sz w:val="28"/>
          <w:szCs w:val="28"/>
        </w:rPr>
        <w:t>Основные положения в части идентификации валютного риска соответствуют положениям Политики.</w:t>
      </w:r>
    </w:p>
    <w:p w:rsidR="00CA5E7A" w:rsidRDefault="00A36422">
      <w:pPr>
        <w:pStyle w:val="ConsPlusNormal"/>
        <w:ind w:firstLine="709"/>
        <w:jc w:val="both"/>
        <w:rPr>
          <w:sz w:val="28"/>
          <w:szCs w:val="28"/>
        </w:rPr>
      </w:pPr>
      <w:r>
        <w:rPr>
          <w:sz w:val="28"/>
          <w:szCs w:val="28"/>
        </w:rPr>
        <w:t>Настоящее Положение уточняет следующие особенности:</w:t>
      </w:r>
    </w:p>
    <w:p w:rsidR="00CA5E7A" w:rsidRDefault="00A36422">
      <w:pPr>
        <w:pStyle w:val="ConsPlusNormal"/>
        <w:ind w:firstLine="709"/>
        <w:jc w:val="both"/>
        <w:rPr>
          <w:sz w:val="28"/>
          <w:szCs w:val="28"/>
        </w:rPr>
      </w:pPr>
      <w:r>
        <w:rPr>
          <w:sz w:val="28"/>
          <w:szCs w:val="28"/>
        </w:rPr>
        <w:t>3.2.1. Видами валютных рисков являются:</w:t>
      </w:r>
    </w:p>
    <w:p w:rsidR="00CA5E7A" w:rsidRDefault="00A36422">
      <w:pPr>
        <w:pStyle w:val="a"/>
        <w:numPr>
          <w:ilvl w:val="0"/>
          <w:numId w:val="0"/>
        </w:numPr>
        <w:ind w:firstLine="709"/>
      </w:pPr>
      <w:r>
        <w:t xml:space="preserve">- транзакционный валютный риск; </w:t>
      </w:r>
    </w:p>
    <w:p w:rsidR="00CA5E7A" w:rsidRDefault="00A36422">
      <w:pPr>
        <w:pStyle w:val="a"/>
        <w:numPr>
          <w:ilvl w:val="0"/>
          <w:numId w:val="0"/>
        </w:numPr>
        <w:ind w:firstLine="709"/>
      </w:pPr>
      <w:r>
        <w:t>- трансляционный валютный риск;</w:t>
      </w:r>
    </w:p>
    <w:p w:rsidR="00CA5E7A" w:rsidRDefault="00A36422">
      <w:pPr>
        <w:pStyle w:val="a"/>
        <w:numPr>
          <w:ilvl w:val="0"/>
          <w:numId w:val="0"/>
        </w:numPr>
        <w:ind w:firstLine="709"/>
      </w:pPr>
      <w:r>
        <w:t xml:space="preserve">- валютный риск конверсионных операций. </w:t>
      </w:r>
    </w:p>
    <w:p w:rsidR="00CA5E7A" w:rsidRDefault="00A36422">
      <w:pPr>
        <w:pStyle w:val="afff7"/>
        <w:widowControl/>
        <w:shd w:val="clear" w:color="auto" w:fill="auto"/>
        <w:ind w:firstLine="709"/>
      </w:pPr>
      <w:r>
        <w:t>3.2.2. Транзакционный валютный риск возникает вследствие наличия ОВП, сформировавшейся в результате операций в валюте, отличной от функциональной валюты отчетности Общества.</w:t>
      </w:r>
    </w:p>
    <w:p w:rsidR="00CA5E7A" w:rsidRDefault="00A36422">
      <w:pPr>
        <w:pStyle w:val="afff7"/>
        <w:widowControl/>
        <w:shd w:val="clear" w:color="auto" w:fill="auto"/>
        <w:ind w:firstLine="709"/>
      </w:pPr>
      <w:r>
        <w:t>3.2.3. Трансляционный валютный риск возникает в результате консолидации активов и пассивов, номинированных в валюте (включая нераспределенную прибыль), отличной от валюты отчетности Общества.</w:t>
      </w:r>
    </w:p>
    <w:p w:rsidR="00CA5E7A" w:rsidRDefault="00A36422">
      <w:pPr>
        <w:pStyle w:val="afff7"/>
        <w:widowControl/>
        <w:shd w:val="clear" w:color="auto" w:fill="auto"/>
        <w:ind w:firstLine="709"/>
      </w:pPr>
      <w:r>
        <w:t>3.2.4. Валютный риск конверсионных операций возникает на основе физических и финансовых торговых позиций в валютах, отличных от валюты отчетности юридического лица, ведущего учет таких позиций.</w:t>
      </w:r>
    </w:p>
    <w:p w:rsidR="00CA5E7A" w:rsidRDefault="00A36422">
      <w:pPr>
        <w:pStyle w:val="afff7"/>
        <w:widowControl/>
        <w:shd w:val="clear" w:color="auto" w:fill="auto"/>
        <w:ind w:firstLine="709"/>
      </w:pPr>
      <w:r>
        <w:t>3.2.5. Идентификация валютного риска проводится владельцем валютного риска на основе собираемой и анализируемой им доступной информации о внешних или внутренних факторах валютного риска, потенциально влияющих на величину валютного риска.</w:t>
      </w:r>
    </w:p>
    <w:p w:rsidR="00CA5E7A" w:rsidRDefault="00A36422">
      <w:pPr>
        <w:pStyle w:val="afff7"/>
        <w:widowControl/>
        <w:shd w:val="clear" w:color="auto" w:fill="auto"/>
        <w:ind w:firstLine="709"/>
      </w:pPr>
      <w:r>
        <w:t>3.2.6. Внешние факторы валютного риска обуславливаются действиями сторонних физических и/или юридических лиц, а также действиями органов государственной власти, местного самоуправления, осуществляющих нормативное правовое регулирование и функции по валютному контролю и надзору.</w:t>
      </w:r>
    </w:p>
    <w:p w:rsidR="00CA5E7A" w:rsidRDefault="00A36422">
      <w:pPr>
        <w:pStyle w:val="afff7"/>
        <w:widowControl/>
        <w:shd w:val="clear" w:color="auto" w:fill="auto"/>
        <w:ind w:firstLine="709"/>
      </w:pPr>
      <w:r>
        <w:t xml:space="preserve">К внешним факторам валютного риска относятся в том числе: </w:t>
      </w:r>
    </w:p>
    <w:p w:rsidR="00CA5E7A" w:rsidRDefault="00A36422">
      <w:pPr>
        <w:pStyle w:val="a"/>
        <w:numPr>
          <w:ilvl w:val="0"/>
          <w:numId w:val="0"/>
        </w:numPr>
        <w:ind w:firstLine="709"/>
      </w:pPr>
      <w:r>
        <w:t>- макроэкономические факторы;</w:t>
      </w:r>
    </w:p>
    <w:p w:rsidR="00CA5E7A" w:rsidRDefault="00A36422">
      <w:pPr>
        <w:pStyle w:val="a"/>
        <w:numPr>
          <w:ilvl w:val="0"/>
          <w:numId w:val="0"/>
        </w:numPr>
        <w:ind w:firstLine="709"/>
      </w:pPr>
      <w:r>
        <w:t>- факторы, определяющие волатильность курсов валют и изменения рыночной стоимости активов и пассивов Общества, номинированных в иностранной валюте;</w:t>
      </w:r>
    </w:p>
    <w:p w:rsidR="00CA5E7A" w:rsidRDefault="00A36422">
      <w:pPr>
        <w:pStyle w:val="a"/>
        <w:numPr>
          <w:ilvl w:val="0"/>
          <w:numId w:val="0"/>
        </w:numPr>
        <w:ind w:firstLine="709"/>
      </w:pPr>
      <w:r>
        <w:t>- риски изменения валютного законодательства.</w:t>
      </w:r>
    </w:p>
    <w:p w:rsidR="00CA5E7A" w:rsidRDefault="00A36422">
      <w:pPr>
        <w:pStyle w:val="afff7"/>
        <w:widowControl/>
        <w:shd w:val="clear" w:color="auto" w:fill="auto"/>
        <w:ind w:firstLine="709"/>
      </w:pPr>
      <w:r>
        <w:t>3.2.7. Внутренние факторы валютного риска обуславливаются внутренней средой, принятыми управленческими решениями, действиями работников и бизнес-процессами Общества.</w:t>
      </w:r>
    </w:p>
    <w:p w:rsidR="00CA5E7A" w:rsidRDefault="00A36422">
      <w:pPr>
        <w:pStyle w:val="afff7"/>
        <w:widowControl/>
        <w:shd w:val="clear" w:color="auto" w:fill="auto"/>
        <w:ind w:firstLine="709"/>
      </w:pPr>
      <w:r>
        <w:t xml:space="preserve">К внутренним факторам валютного риска относятся, в частности: </w:t>
      </w:r>
    </w:p>
    <w:p w:rsidR="00CA5E7A" w:rsidRDefault="00A36422">
      <w:pPr>
        <w:pStyle w:val="a"/>
        <w:numPr>
          <w:ilvl w:val="0"/>
          <w:numId w:val="0"/>
        </w:numPr>
        <w:ind w:firstLine="709"/>
      </w:pPr>
      <w:r>
        <w:t xml:space="preserve">- применение некорректных моделей оценки валютного риска; </w:t>
      </w:r>
    </w:p>
    <w:p w:rsidR="00CA5E7A" w:rsidRDefault="00A36422">
      <w:pPr>
        <w:pStyle w:val="a"/>
        <w:numPr>
          <w:ilvl w:val="0"/>
          <w:numId w:val="0"/>
        </w:numPr>
        <w:ind w:firstLine="709"/>
      </w:pPr>
      <w:r>
        <w:t>- неэффективность системы внутреннего контроля Общества;</w:t>
      </w:r>
    </w:p>
    <w:p w:rsidR="00CA5E7A" w:rsidRDefault="00A36422">
      <w:pPr>
        <w:pStyle w:val="a"/>
        <w:numPr>
          <w:ilvl w:val="0"/>
          <w:numId w:val="0"/>
        </w:numPr>
        <w:ind w:firstLine="709"/>
      </w:pPr>
      <w:r>
        <w:lastRenderedPageBreak/>
        <w:t>- несовершенство организационной структуры в части распределения (разделения) функций, ответственности и полномочий, возникновение конфликта интересов.</w:t>
      </w:r>
    </w:p>
    <w:p w:rsidR="00CA5E7A" w:rsidRDefault="00A36422">
      <w:pPr>
        <w:pStyle w:val="2"/>
        <w:tabs>
          <w:tab w:val="clear" w:pos="1219"/>
          <w:tab w:val="left" w:pos="709"/>
        </w:tabs>
        <w:spacing w:before="120"/>
        <w:ind w:left="709"/>
        <w:jc w:val="both"/>
      </w:pPr>
      <w:bookmarkStart w:id="14" w:name="_Toc14"/>
      <w:r>
        <w:t>3.3. Оценка валютного риска</w:t>
      </w:r>
      <w:bookmarkEnd w:id="14"/>
    </w:p>
    <w:p w:rsidR="00CA5E7A" w:rsidRDefault="00A36422">
      <w:pPr>
        <w:pStyle w:val="ConsPlusNormal"/>
        <w:ind w:firstLine="709"/>
        <w:jc w:val="both"/>
        <w:rPr>
          <w:sz w:val="28"/>
          <w:szCs w:val="28"/>
        </w:rPr>
      </w:pPr>
      <w:r>
        <w:rPr>
          <w:sz w:val="28"/>
          <w:szCs w:val="28"/>
        </w:rPr>
        <w:t>3.3.1. Основные положения в части оценки валютного риска соответствуют положениям Политики и Положения УФР.</w:t>
      </w:r>
    </w:p>
    <w:p w:rsidR="00CA5E7A" w:rsidRDefault="00A36422">
      <w:pPr>
        <w:pStyle w:val="ConsPlusNormal"/>
        <w:ind w:firstLine="709"/>
        <w:jc w:val="both"/>
        <w:rPr>
          <w:sz w:val="28"/>
          <w:szCs w:val="28"/>
        </w:rPr>
      </w:pPr>
      <w:r>
        <w:rPr>
          <w:sz w:val="28"/>
          <w:szCs w:val="28"/>
        </w:rPr>
        <w:t>3.3.2. Настоящее Положение уточняет следующие особенности проведения оценки валютного риска:</w:t>
      </w:r>
    </w:p>
    <w:p w:rsidR="00CA5E7A" w:rsidRDefault="00A36422">
      <w:pPr>
        <w:pStyle w:val="afff7"/>
        <w:widowControl/>
        <w:shd w:val="clear" w:color="auto" w:fill="auto"/>
        <w:ind w:firstLine="709"/>
      </w:pPr>
      <w:r>
        <w:t>оценка валютного риска проводится владельцем валютного риска, в том числе с применением следующих количественных методов (инструментов):</w:t>
      </w:r>
    </w:p>
    <w:p w:rsidR="00CA5E7A" w:rsidRDefault="00A36422">
      <w:pPr>
        <w:pStyle w:val="a"/>
        <w:numPr>
          <w:ilvl w:val="0"/>
          <w:numId w:val="0"/>
        </w:numPr>
        <w:ind w:firstLine="709"/>
      </w:pPr>
      <w:r>
        <w:t>- анализ чувствительности (к изменению курсов иностранных валют);</w:t>
      </w:r>
    </w:p>
    <w:p w:rsidR="00CA5E7A" w:rsidRDefault="00A36422">
      <w:pPr>
        <w:pStyle w:val="a"/>
        <w:numPr>
          <w:ilvl w:val="0"/>
          <w:numId w:val="0"/>
        </w:numPr>
        <w:ind w:firstLine="709"/>
      </w:pPr>
      <w:r>
        <w:t>- сценарный анализ и стресс-тестирование;</w:t>
      </w:r>
    </w:p>
    <w:p w:rsidR="00CA5E7A" w:rsidRDefault="00A36422">
      <w:pPr>
        <w:pStyle w:val="a"/>
        <w:numPr>
          <w:ilvl w:val="0"/>
          <w:numId w:val="0"/>
        </w:numPr>
        <w:ind w:firstLine="709"/>
      </w:pPr>
      <w:r>
        <w:t>- VaR (в том числе с расчетом по методу исторического моделирования).</w:t>
      </w:r>
    </w:p>
    <w:p w:rsidR="00CA5E7A" w:rsidRDefault="00A36422">
      <w:pPr>
        <w:pStyle w:val="afff7"/>
        <w:widowControl/>
        <w:shd w:val="clear" w:color="auto" w:fill="auto"/>
        <w:ind w:firstLine="709"/>
      </w:pPr>
      <w:r>
        <w:t>3.3.3. Количественная оценка валютного риска осуществляется в отношении финансовых инструментов (активов и обязательств), чувствительных к изменению валютных курсов, которые оказывают существенное влияние на совокупную позицию, подверженную валютному риску.</w:t>
      </w:r>
    </w:p>
    <w:p w:rsidR="00CA5E7A" w:rsidRDefault="00A36422">
      <w:pPr>
        <w:pStyle w:val="afff7"/>
        <w:widowControl/>
        <w:shd w:val="clear" w:color="auto" w:fill="auto"/>
        <w:ind w:firstLine="709"/>
      </w:pPr>
      <w:r>
        <w:t>3.3.4. Сценарный анализ и стресс-тестирование направлены на анализ вероятного воздействия изменений во внешней рыночной конъюнктуре и оценку размера возможных потерь Общества посредством расчета обесценения финансовых активов при реализации различных сценариев изменений валютных курсов (в том числе связанных с макроэкономическими факторами).</w:t>
      </w:r>
    </w:p>
    <w:p w:rsidR="00CA5E7A" w:rsidRDefault="00A36422">
      <w:pPr>
        <w:pStyle w:val="18"/>
        <w:widowControl/>
        <w:shd w:val="clear" w:color="auto" w:fill="auto"/>
        <w:ind w:firstLine="709"/>
      </w:pPr>
      <w:r>
        <w:t>Стресс-тестирование проводится на основе стресс-сценариев, утвержденных коллегиальным органом ПАО «Газпром».</w:t>
      </w:r>
    </w:p>
    <w:p w:rsidR="00CA5E7A" w:rsidRDefault="00A36422">
      <w:pPr>
        <w:pStyle w:val="afff7"/>
        <w:widowControl/>
        <w:shd w:val="clear" w:color="auto" w:fill="auto"/>
        <w:ind w:firstLine="709"/>
      </w:pPr>
      <w:r>
        <w:t>3.3.5. Процедуры стресс-тестирования определены в локальных нормативных актах Общества, созданных на основании локальных нормативных актов ПАО «Газпром», МРГ в частности:</w:t>
      </w:r>
    </w:p>
    <w:p w:rsidR="00CA5E7A" w:rsidRDefault="00A36422">
      <w:pPr>
        <w:pStyle w:val="a"/>
        <w:numPr>
          <w:ilvl w:val="0"/>
          <w:numId w:val="0"/>
        </w:numPr>
        <w:ind w:firstLine="709"/>
      </w:pPr>
      <w:r>
        <w:t>- типы стресс-тестов и основные задачи, решаемые в процессе</w:t>
      </w:r>
      <w:r>
        <w:br/>
        <w:t>стресс-тестирования;</w:t>
      </w:r>
    </w:p>
    <w:p w:rsidR="00CA5E7A" w:rsidRDefault="00A36422">
      <w:pPr>
        <w:pStyle w:val="a"/>
        <w:numPr>
          <w:ilvl w:val="0"/>
          <w:numId w:val="0"/>
        </w:numPr>
        <w:ind w:firstLine="709"/>
      </w:pPr>
      <w:r>
        <w:t>- периодичность проведения стресс-тестирования в зависимости от типов стресс-тестов и решаемых с их помощью задач (не реже чем один раз в год);</w:t>
      </w:r>
    </w:p>
    <w:p w:rsidR="00CA5E7A" w:rsidRDefault="00A36422">
      <w:pPr>
        <w:pStyle w:val="a"/>
        <w:numPr>
          <w:ilvl w:val="0"/>
          <w:numId w:val="0"/>
        </w:numPr>
        <w:ind w:firstLine="709"/>
      </w:pPr>
      <w:r>
        <w:t>- перечень используемых подходов при выборе сценариев;</w:t>
      </w:r>
    </w:p>
    <w:p w:rsidR="00CA5E7A" w:rsidRDefault="00A36422">
      <w:pPr>
        <w:pStyle w:val="a"/>
        <w:numPr>
          <w:ilvl w:val="0"/>
          <w:numId w:val="0"/>
        </w:numPr>
        <w:ind w:firstLine="709"/>
      </w:pPr>
      <w:r>
        <w:t>- порядок использования результатов стресс-тестирования при управлении валютным риском;</w:t>
      </w:r>
    </w:p>
    <w:p w:rsidR="00CA5E7A" w:rsidRDefault="00A36422">
      <w:pPr>
        <w:pStyle w:val="a"/>
        <w:numPr>
          <w:ilvl w:val="0"/>
          <w:numId w:val="0"/>
        </w:numPr>
        <w:ind w:firstLine="709"/>
      </w:pPr>
      <w:r>
        <w:t xml:space="preserve">- порядок информирования органов управления </w:t>
      </w:r>
      <w:r>
        <w:rPr>
          <w:spacing w:val="-8"/>
        </w:rPr>
        <w:t xml:space="preserve">Общества </w:t>
      </w:r>
      <w:r>
        <w:t>о результатах стресс-тестирования и принятых мерах по снижению уровня валютного риска по результатам стресс-тестирования;</w:t>
      </w:r>
    </w:p>
    <w:p w:rsidR="00CA5E7A" w:rsidRDefault="00A36422">
      <w:pPr>
        <w:pStyle w:val="a"/>
        <w:numPr>
          <w:ilvl w:val="0"/>
          <w:numId w:val="0"/>
        </w:numPr>
        <w:ind w:firstLine="709"/>
      </w:pPr>
      <w:r>
        <w:t>- возможные корректирующие действия в стрессовых ситуациях в Обществе.</w:t>
      </w:r>
    </w:p>
    <w:p w:rsidR="00CA5E7A" w:rsidRDefault="00A36422">
      <w:pPr>
        <w:pStyle w:val="afff7"/>
        <w:widowControl/>
        <w:shd w:val="clear" w:color="auto" w:fill="auto"/>
        <w:ind w:firstLine="709"/>
      </w:pPr>
      <w:r>
        <w:t>3.3.6. Результаты стресс-тестирования по валютному риску Общества могут агрегироваться с результатами стресс-тестирования по другим рискам в целях определения совокупных потерь для Общества в условиях рассматриваемой кризисной ситуации (интегральное стресс-тестирование).</w:t>
      </w:r>
    </w:p>
    <w:p w:rsidR="00CA5E7A" w:rsidRDefault="00A36422">
      <w:pPr>
        <w:pStyle w:val="afff7"/>
        <w:widowControl/>
        <w:shd w:val="clear" w:color="auto" w:fill="auto"/>
        <w:ind w:firstLine="709"/>
      </w:pPr>
      <w:r>
        <w:lastRenderedPageBreak/>
        <w:t xml:space="preserve">3.3.7. Результаты стресс-тестирования по валютному риску Общества, а также интегрального стресс-тестирования предоставляются в установленном порядке не реже одного раза в год органу управления </w:t>
      </w:r>
      <w:r>
        <w:rPr>
          <w:spacing w:val="-8"/>
        </w:rPr>
        <w:t>Общества</w:t>
      </w:r>
      <w:r>
        <w:t>.</w:t>
      </w:r>
    </w:p>
    <w:p w:rsidR="00CA5E7A" w:rsidRDefault="00A36422">
      <w:pPr>
        <w:pStyle w:val="afff7"/>
        <w:widowControl/>
        <w:shd w:val="clear" w:color="auto" w:fill="auto"/>
        <w:ind w:firstLine="709"/>
        <w:rPr>
          <w:spacing w:val="-6"/>
        </w:rPr>
      </w:pPr>
      <w:r>
        <w:rPr>
          <w:spacing w:val="-6"/>
        </w:rPr>
        <w:t>3.3.8. Результаты стресс-тестирования могут применяться владельцем валютного риска при разработке предложений по допустимому уровню и предельно допустимому уровню валютного риска и разработке мероприятий по управлению валютным риском.</w:t>
      </w:r>
    </w:p>
    <w:p w:rsidR="00CA5E7A" w:rsidRDefault="00A36422">
      <w:pPr>
        <w:pStyle w:val="afff7"/>
        <w:widowControl/>
        <w:shd w:val="clear" w:color="auto" w:fill="auto"/>
        <w:ind w:firstLine="709"/>
        <w:rPr>
          <w:spacing w:val="-6"/>
        </w:rPr>
      </w:pPr>
      <w:r>
        <w:rPr>
          <w:color w:val="000000"/>
          <w:lang w:bidi="ru-RU"/>
        </w:rPr>
        <w:t>3.3.9. Допущения, принятые в рамках методологии оценки валютного риска, применяемые Обществом, должны быть основаны на положениях методических подходов, методов (методик) ПАО «Газпром» по оценке валютного риска.</w:t>
      </w:r>
    </w:p>
    <w:p w:rsidR="00CA5E7A" w:rsidRDefault="00A36422">
      <w:pPr>
        <w:pStyle w:val="afff7"/>
        <w:widowControl/>
        <w:ind w:firstLine="709"/>
        <w:rPr>
          <w:spacing w:val="-6"/>
        </w:rPr>
      </w:pPr>
      <w:r>
        <w:rPr>
          <w:spacing w:val="-6"/>
        </w:rPr>
        <w:t>3.3.10. Владельцы (совладельцы) валютного риска проводят анализ чувствительности результатов оценки валютного риска к изменению допущений.</w:t>
      </w:r>
    </w:p>
    <w:p w:rsidR="00CA5E7A" w:rsidRDefault="00A36422">
      <w:pPr>
        <w:pStyle w:val="afff7"/>
        <w:widowControl/>
        <w:shd w:val="clear" w:color="auto" w:fill="auto"/>
        <w:ind w:firstLine="709"/>
        <w:rPr>
          <w:spacing w:val="-6"/>
        </w:rPr>
      </w:pPr>
      <w:r>
        <w:rPr>
          <w:spacing w:val="-6"/>
        </w:rPr>
        <w:t xml:space="preserve">Результаты оценки валютного риска Общества с учетом допущений включаются в виде раздела в ежегодную отчетность владельцев (совладельцев) валютного риска, а также представляются в ПУРиВК Общества, ПУРиВК МРГ и органу управления </w:t>
      </w:r>
      <w:r>
        <w:rPr>
          <w:spacing w:val="-8"/>
        </w:rPr>
        <w:t xml:space="preserve">Общества </w:t>
      </w:r>
      <w:r>
        <w:rPr>
          <w:spacing w:val="-6"/>
        </w:rPr>
        <w:t xml:space="preserve">по их запросу. </w:t>
      </w:r>
    </w:p>
    <w:p w:rsidR="00CA5E7A" w:rsidRDefault="00A36422">
      <w:pPr>
        <w:pStyle w:val="afff7"/>
        <w:widowControl/>
        <w:shd w:val="clear" w:color="auto" w:fill="auto"/>
        <w:ind w:firstLine="709"/>
      </w:pPr>
      <w:r>
        <w:t>3.3.11. Результаты оценки валютного риска могут использоваться при расчете риска ликвидности на основе оценки денежного потока под риском (Cash-Flow-at-Risk, CFaR-методы).</w:t>
      </w:r>
    </w:p>
    <w:p w:rsidR="00CA5E7A" w:rsidRDefault="00A36422">
      <w:pPr>
        <w:pStyle w:val="afff7"/>
        <w:widowControl/>
        <w:shd w:val="clear" w:color="auto" w:fill="auto"/>
        <w:ind w:firstLine="709"/>
      </w:pPr>
      <w:r>
        <w:rPr>
          <w:lang w:val="en-US" w:eastAsia="en-US"/>
        </w:rPr>
        <w:t>CFaR</w:t>
      </w:r>
      <w:r>
        <w:t>-методы позволяют определить подверженность денежного потока валютному риску (отдельно или в совокупности с другими рисками) – рассчитать максимальную величину возможного убытка или снижения ликвидных средств в течение заданного периода времени с установленной доверительной вероятностью.</w:t>
      </w:r>
    </w:p>
    <w:p w:rsidR="00CA5E7A" w:rsidRDefault="00A36422">
      <w:pPr>
        <w:pStyle w:val="afff7"/>
        <w:widowControl/>
        <w:shd w:val="clear" w:color="auto" w:fill="auto"/>
        <w:ind w:firstLine="709"/>
      </w:pPr>
      <w:r>
        <w:t xml:space="preserve">Результатами такой оценки являются следующие показатели: </w:t>
      </w:r>
    </w:p>
    <w:p w:rsidR="00CA5E7A" w:rsidRDefault="00A36422">
      <w:pPr>
        <w:pStyle w:val="afff7"/>
        <w:widowControl/>
        <w:shd w:val="clear" w:color="auto" w:fill="auto"/>
        <w:ind w:firstLine="709"/>
      </w:pPr>
      <w:r>
        <w:t>- консервативное значение показателей денежного потока и приведенной стоимости будущих платежей с учетом влияния валютного риска в течение указанного периода времени с установленной доверительной вероятностью;</w:t>
      </w:r>
    </w:p>
    <w:p w:rsidR="00CA5E7A" w:rsidRDefault="00A36422">
      <w:pPr>
        <w:pStyle w:val="afff7"/>
        <w:widowControl/>
        <w:shd w:val="clear" w:color="auto" w:fill="auto"/>
        <w:ind w:firstLine="709"/>
      </w:pPr>
      <w:r>
        <w:t>- ожидаемое значение показателей денежного потока с учетом влияния валютного риска в течение указанного периода времени.</w:t>
      </w:r>
    </w:p>
    <w:p w:rsidR="00CA5E7A" w:rsidRDefault="00A36422">
      <w:pPr>
        <w:pStyle w:val="afff7"/>
        <w:widowControl/>
        <w:shd w:val="clear" w:color="auto" w:fill="auto"/>
        <w:ind w:firstLine="709"/>
      </w:pPr>
      <w:r>
        <w:t xml:space="preserve">3.3.12. </w:t>
      </w:r>
      <w:r>
        <w:rPr>
          <w:color w:val="000000"/>
          <w:lang w:bidi="ru-RU"/>
        </w:rPr>
        <w:t>Для определения значимости уровня валютного риска в сравнении с другими рисками владельцами (совладельцами) валютного риска может применяться качественная оценка валютного риска, основанная на экспертных оценках вероятности и существенности финансовых и нефинансовых последствий реализации валютного риска.</w:t>
      </w:r>
    </w:p>
    <w:p w:rsidR="00CA5E7A" w:rsidRDefault="00A36422">
      <w:pPr>
        <w:pStyle w:val="2"/>
        <w:tabs>
          <w:tab w:val="clear" w:pos="1219"/>
          <w:tab w:val="left" w:pos="709"/>
        </w:tabs>
        <w:spacing w:before="120"/>
        <w:ind w:firstLine="709"/>
        <w:jc w:val="both"/>
      </w:pPr>
      <w:bookmarkStart w:id="15" w:name="bookmark9"/>
      <w:bookmarkStart w:id="16" w:name="_Toc15"/>
      <w:r>
        <w:t>3.4. Реагирование на валютный риск.</w:t>
      </w:r>
      <w:bookmarkEnd w:id="15"/>
      <w:r>
        <w:t xml:space="preserve"> Мероприятия по управлению валютным риском</w:t>
      </w:r>
      <w:bookmarkEnd w:id="16"/>
    </w:p>
    <w:p w:rsidR="00CA5E7A" w:rsidRDefault="00A36422">
      <w:pPr>
        <w:pStyle w:val="ConsPlusNormal"/>
        <w:numPr>
          <w:ilvl w:val="2"/>
          <w:numId w:val="6"/>
        </w:numPr>
        <w:ind w:left="0" w:firstLine="709"/>
        <w:jc w:val="both"/>
        <w:rPr>
          <w:sz w:val="28"/>
          <w:szCs w:val="28"/>
        </w:rPr>
      </w:pPr>
      <w:r>
        <w:rPr>
          <w:sz w:val="28"/>
          <w:szCs w:val="28"/>
        </w:rPr>
        <w:t>Основные положения в части реагирования на валютный риск, а также в части разработки и реализации мероприятий по управлению валютным риском соответствуют положениям Политики и Положение УФР.</w:t>
      </w:r>
    </w:p>
    <w:p w:rsidR="00CA5E7A" w:rsidRDefault="00A36422">
      <w:pPr>
        <w:pStyle w:val="ConsPlusNormal"/>
        <w:numPr>
          <w:ilvl w:val="2"/>
          <w:numId w:val="6"/>
        </w:numPr>
        <w:ind w:left="0" w:firstLine="709"/>
        <w:jc w:val="both"/>
        <w:rPr>
          <w:sz w:val="28"/>
          <w:szCs w:val="28"/>
        </w:rPr>
      </w:pPr>
      <w:r>
        <w:rPr>
          <w:sz w:val="28"/>
          <w:szCs w:val="28"/>
        </w:rPr>
        <w:t>Настоящее Положение уточняет следующее:</w:t>
      </w:r>
    </w:p>
    <w:p w:rsidR="00CA5E7A" w:rsidRDefault="00A36422">
      <w:pPr>
        <w:pStyle w:val="afff7"/>
        <w:widowControl/>
        <w:shd w:val="clear" w:color="auto" w:fill="auto"/>
        <w:ind w:firstLine="709"/>
      </w:pPr>
      <w:r>
        <w:t>Реагирование на валютный риск представляет собой процесс выбора и применения стратегии (способа) реагирования на риск.</w:t>
      </w:r>
    </w:p>
    <w:p w:rsidR="00CA5E7A" w:rsidRDefault="00A36422">
      <w:pPr>
        <w:pStyle w:val="afff7"/>
        <w:widowControl/>
        <w:shd w:val="clear" w:color="auto" w:fill="auto"/>
        <w:ind w:firstLine="709"/>
      </w:pPr>
      <w:r>
        <w:lastRenderedPageBreak/>
        <w:t>Мероприятия (инструменты) по управлению валютным риском разрабатываются и применяются с целью уменьшения вероятности реализации неблагоприятных событий и негативных последствий при возникновении финансовых потерь Общества, связанных с реализацией валютного риска.</w:t>
      </w:r>
    </w:p>
    <w:p w:rsidR="00CA5E7A" w:rsidRDefault="00A36422">
      <w:pPr>
        <w:pStyle w:val="afff7"/>
        <w:widowControl/>
        <w:shd w:val="clear" w:color="auto" w:fill="auto"/>
        <w:ind w:firstLine="709"/>
      </w:pPr>
      <w:r>
        <w:t>3.4.3. Основными мероприятиями по управлению валютным риском являются:</w:t>
      </w:r>
    </w:p>
    <w:p w:rsidR="00CA5E7A" w:rsidRDefault="00A36422">
      <w:pPr>
        <w:pStyle w:val="a"/>
        <w:numPr>
          <w:ilvl w:val="0"/>
          <w:numId w:val="0"/>
        </w:numPr>
        <w:ind w:firstLine="709"/>
      </w:pPr>
      <w:r>
        <w:t>- изменение договорных (контрактных) условий, включая внесение в договоры Общества валютных оговорок, изменение условий оплаты по таким договорам;</w:t>
      </w:r>
    </w:p>
    <w:p w:rsidR="00CA5E7A" w:rsidRDefault="00A36422">
      <w:pPr>
        <w:pStyle w:val="18"/>
        <w:shd w:val="clear" w:color="auto" w:fill="auto"/>
        <w:ind w:firstLine="709"/>
      </w:pPr>
      <w:r>
        <w:t>- оптимизация валютной структуры портфеля привлечений/размещений Общества;</w:t>
      </w:r>
    </w:p>
    <w:p w:rsidR="00CA5E7A" w:rsidRDefault="00A36422">
      <w:pPr>
        <w:pStyle w:val="a"/>
        <w:numPr>
          <w:ilvl w:val="0"/>
          <w:numId w:val="0"/>
        </w:numPr>
        <w:ind w:firstLine="709"/>
      </w:pPr>
      <w:r>
        <w:t>- изменение сроков и объемов операций купли-продажи иностранной валюты за рубли и конверсионных операций, перенос платежей;</w:t>
      </w:r>
    </w:p>
    <w:p w:rsidR="00CA5E7A" w:rsidRDefault="00A36422">
      <w:pPr>
        <w:pStyle w:val="18"/>
        <w:shd w:val="clear" w:color="auto" w:fill="auto"/>
        <w:ind w:firstLine="709"/>
      </w:pPr>
      <w:r>
        <w:t>- диверсификация и управление валютной структурой баланса Общества с учетом валютного риска;</w:t>
      </w:r>
    </w:p>
    <w:p w:rsidR="00CA5E7A" w:rsidRDefault="00A36422">
      <w:pPr>
        <w:pStyle w:val="a"/>
        <w:numPr>
          <w:ilvl w:val="0"/>
          <w:numId w:val="0"/>
        </w:numPr>
        <w:ind w:firstLine="709"/>
      </w:pPr>
      <w:r>
        <w:t>- использование биржевых и внебиржевых ПФИ (в том числе валютных фьючерсов и валютных форвардов, сделок с отсрочкой платежа; валютно-процентных свопов; валютных опционов и других ПФИ);</w:t>
      </w:r>
    </w:p>
    <w:p w:rsidR="00CA5E7A" w:rsidRDefault="00A36422">
      <w:pPr>
        <w:pStyle w:val="a"/>
        <w:numPr>
          <w:ilvl w:val="0"/>
          <w:numId w:val="0"/>
        </w:numPr>
        <w:ind w:firstLine="709"/>
      </w:pPr>
      <w:r>
        <w:t>- прочие инструменты, предусмотренные законодательством и локальными нормативными актами</w:t>
      </w:r>
      <w:r>
        <w:rPr>
          <w:spacing w:val="-6"/>
        </w:rPr>
        <w:t xml:space="preserve"> ПАО «Газпром» и разрабатываемыми на их основе нормативными документами МРГ и</w:t>
      </w:r>
      <w:r>
        <w:t xml:space="preserve"> Общества. </w:t>
      </w:r>
    </w:p>
    <w:p w:rsidR="00CA5E7A" w:rsidRDefault="00A36422">
      <w:pPr>
        <w:pStyle w:val="afff7"/>
        <w:widowControl/>
        <w:shd w:val="clear" w:color="auto" w:fill="auto"/>
        <w:ind w:firstLine="709"/>
      </w:pPr>
      <w:r>
        <w:t xml:space="preserve">3.4.4. Порядок разработки, согласования и реализации мероприятий по управлению валютным риском регламентируется локальными нормативными актами и внутренними распорядительными документами ПАО «Газпром», МРГ и разрабатываемыми на их основе локальными нормативными актами и внутренними распорядительными документами Общества. </w:t>
      </w:r>
    </w:p>
    <w:p w:rsidR="00CA5E7A" w:rsidRDefault="00A36422">
      <w:pPr>
        <w:pStyle w:val="2"/>
        <w:spacing w:before="120"/>
        <w:ind w:firstLine="709"/>
        <w:jc w:val="both"/>
      </w:pPr>
      <w:bookmarkStart w:id="17" w:name="bookmark10"/>
      <w:bookmarkStart w:id="18" w:name="_Toc16"/>
      <w:r>
        <w:t>3.5. Мониторинг валютного риска и мероприятий по управлению валютным риском</w:t>
      </w:r>
      <w:bookmarkEnd w:id="17"/>
      <w:bookmarkEnd w:id="18"/>
    </w:p>
    <w:p w:rsidR="00CA5E7A" w:rsidRDefault="00A36422">
      <w:pPr>
        <w:pStyle w:val="afff7"/>
        <w:widowControl/>
        <w:shd w:val="clear" w:color="auto" w:fill="auto"/>
        <w:ind w:firstLine="720"/>
      </w:pPr>
      <w:r>
        <w:t>3.5.1. Мониторинг валютного риска и мероприятий по управлению валютным риском осуществляется участниками процесса управления валютным риском согласно их функциональным обязанностям на регулярной основе в целях своевременного выявления изменения уровня валютного риска, разработки и реализации мероприятий по управлению валютным риском.</w:t>
      </w:r>
    </w:p>
    <w:p w:rsidR="00CA5E7A" w:rsidRDefault="00A36422">
      <w:pPr>
        <w:pStyle w:val="afff7"/>
        <w:widowControl/>
        <w:shd w:val="clear" w:color="auto" w:fill="auto"/>
        <w:ind w:firstLine="709"/>
      </w:pPr>
      <w:r>
        <w:t xml:space="preserve">3.5.2. В ходе мониторинга валютного риска и мероприятий по управлению валютным риском владелец </w:t>
      </w:r>
      <w:r>
        <w:rPr>
          <w:color w:val="000000"/>
          <w:lang w:bidi="ru-RU"/>
        </w:rPr>
        <w:t>(совладелец) валютного</w:t>
      </w:r>
      <w:r>
        <w:t xml:space="preserve"> риска может выявить новые факторы валютного риска, информация о которых должна фиксироваться и представляться в рамках управленческой отчетности по рискам и корпоративной периодической и годовой статистической отчетности.</w:t>
      </w:r>
    </w:p>
    <w:p w:rsidR="00CA5E7A" w:rsidRDefault="00A36422">
      <w:pPr>
        <w:pStyle w:val="afff7"/>
        <w:widowControl/>
        <w:shd w:val="clear" w:color="auto" w:fill="auto"/>
        <w:tabs>
          <w:tab w:val="num" w:pos="0"/>
        </w:tabs>
        <w:ind w:firstLine="709"/>
      </w:pPr>
      <w:r>
        <w:t xml:space="preserve">3.5.3. В процессе мониторинга валютного риска и мероприятий по управлению валютным риском владелец валютного риска </w:t>
      </w:r>
      <w:r>
        <w:rPr>
          <w:spacing w:val="-8"/>
        </w:rPr>
        <w:t>в рамках своей компетенции осуществляет:</w:t>
      </w:r>
    </w:p>
    <w:p w:rsidR="00CA5E7A" w:rsidRDefault="00A36422">
      <w:pPr>
        <w:pStyle w:val="afff7"/>
        <w:widowControl/>
        <w:shd w:val="clear" w:color="auto" w:fill="auto"/>
        <w:tabs>
          <w:tab w:val="num" w:pos="0"/>
          <w:tab w:val="left" w:pos="851"/>
          <w:tab w:val="left" w:pos="993"/>
        </w:tabs>
        <w:ind w:firstLine="709"/>
      </w:pPr>
      <w:r>
        <w:t>- осуществляет ежедневный мониторинг изменения курсов основных валют, ОВП и прогнозирование динамики изменения ОВП в разрезе отдельных валют и в целом по валютной позиции;</w:t>
      </w:r>
    </w:p>
    <w:p w:rsidR="00CA5E7A" w:rsidRDefault="00A36422">
      <w:pPr>
        <w:pStyle w:val="afff7"/>
        <w:widowControl/>
        <w:tabs>
          <w:tab w:val="num" w:pos="0"/>
          <w:tab w:val="left" w:pos="851"/>
          <w:tab w:val="left" w:pos="993"/>
        </w:tabs>
        <w:ind w:firstLine="709"/>
      </w:pPr>
      <w:r>
        <w:lastRenderedPageBreak/>
        <w:t>- осуществляет ежедневный контроль за соблюдением лимитов валютного риска;</w:t>
      </w:r>
    </w:p>
    <w:p w:rsidR="00CA5E7A" w:rsidRDefault="00A36422">
      <w:pPr>
        <w:pStyle w:val="afff7"/>
        <w:widowControl/>
        <w:shd w:val="clear" w:color="auto" w:fill="auto"/>
        <w:tabs>
          <w:tab w:val="num" w:pos="0"/>
          <w:tab w:val="left" w:pos="851"/>
        </w:tabs>
        <w:ind w:firstLine="709"/>
      </w:pPr>
      <w:r>
        <w:t>- проводит регулярную количественную оценку валютного риска.</w:t>
      </w:r>
    </w:p>
    <w:p w:rsidR="00CA5E7A" w:rsidRDefault="00A36422">
      <w:pPr>
        <w:pStyle w:val="afff7"/>
        <w:widowControl/>
        <w:shd w:val="clear" w:color="auto" w:fill="auto"/>
        <w:tabs>
          <w:tab w:val="num" w:pos="0"/>
        </w:tabs>
        <w:ind w:firstLine="709"/>
      </w:pPr>
      <w:r>
        <w:t xml:space="preserve">3.5.4. В случае неблагоприятных изменений уровня валютного риска (в том числе нарушения лимита валютного риска) владелец валютного риска информирует об этом орган управления </w:t>
      </w:r>
      <w:r>
        <w:rPr>
          <w:spacing w:val="-8"/>
        </w:rPr>
        <w:t xml:space="preserve">Общества </w:t>
      </w:r>
      <w:r>
        <w:t>и ПУРиВК Общества, разрабатывает и реализует мероприятия по управлению валютным риском.</w:t>
      </w:r>
    </w:p>
    <w:p w:rsidR="00CA5E7A" w:rsidRDefault="00A36422">
      <w:pPr>
        <w:pStyle w:val="afff7"/>
        <w:widowControl/>
        <w:shd w:val="clear" w:color="auto" w:fill="auto"/>
        <w:tabs>
          <w:tab w:val="num" w:pos="0"/>
        </w:tabs>
        <w:ind w:firstLine="709"/>
      </w:pPr>
      <w:r>
        <w:t>3.5.5. В случае реализации валютного риска участники управления валютным риском осуществляют мероприятия по смягчению последствий реализации валютного риска в порядке, предусмотренном локальными нормативными актами ПАО «Газпром», МРГ и Общества.</w:t>
      </w:r>
    </w:p>
    <w:p w:rsidR="00CA5E7A" w:rsidRDefault="00A36422">
      <w:pPr>
        <w:pStyle w:val="afff7"/>
        <w:widowControl/>
        <w:shd w:val="clear" w:color="auto" w:fill="auto"/>
        <w:tabs>
          <w:tab w:val="num" w:pos="0"/>
        </w:tabs>
        <w:ind w:firstLine="709"/>
        <w:rPr>
          <w:color w:val="000000"/>
          <w:lang w:bidi="ru-RU"/>
        </w:rPr>
      </w:pPr>
      <w:r>
        <w:rPr>
          <w:color w:val="000000"/>
          <w:lang w:bidi="ru-RU"/>
        </w:rPr>
        <w:t>3.5.6. ПУРиВК Общества выполняет контроль за эффективностью реализации процессов управления валютным риском в Общества, включая мониторинг:</w:t>
      </w:r>
    </w:p>
    <w:p w:rsidR="00CA5E7A" w:rsidRDefault="00A36422">
      <w:pPr>
        <w:pStyle w:val="18"/>
        <w:shd w:val="clear" w:color="auto" w:fill="auto"/>
        <w:ind w:firstLine="760"/>
      </w:pPr>
      <w:r>
        <w:t>- уровня валютного риска и мероприятий по управлению валютным риском;</w:t>
      </w:r>
    </w:p>
    <w:p w:rsidR="00CA5E7A" w:rsidRDefault="00A36422">
      <w:pPr>
        <w:pStyle w:val="18"/>
        <w:shd w:val="clear" w:color="auto" w:fill="auto"/>
        <w:ind w:firstLine="760"/>
      </w:pPr>
      <w:r>
        <w:t>- соблюдения лимитов валютного риска, установленных для Общества;</w:t>
      </w:r>
    </w:p>
    <w:p w:rsidR="00CA5E7A" w:rsidRDefault="00A36422">
      <w:pPr>
        <w:pStyle w:val="18"/>
        <w:shd w:val="clear" w:color="auto" w:fill="auto"/>
        <w:ind w:firstLine="760"/>
      </w:pPr>
      <w:r>
        <w:t>- изменения курсов основных валют;</w:t>
      </w:r>
    </w:p>
    <w:p w:rsidR="00CA5E7A" w:rsidRDefault="00A36422">
      <w:pPr>
        <w:pStyle w:val="18"/>
        <w:shd w:val="clear" w:color="auto" w:fill="auto"/>
        <w:ind w:firstLine="760"/>
      </w:pPr>
      <w:r>
        <w:t>- соблюдения, актуализации локальных нормативных актов Общества в области управления рисками;</w:t>
      </w:r>
    </w:p>
    <w:p w:rsidR="00CA5E7A" w:rsidRDefault="00A36422">
      <w:pPr>
        <w:pStyle w:val="18"/>
        <w:shd w:val="clear" w:color="auto" w:fill="auto"/>
        <w:ind w:firstLine="760"/>
      </w:pPr>
      <w:r>
        <w:t>- соблюдения принципа разделения обязанностей в рамках процессов управления валютным риском;</w:t>
      </w:r>
    </w:p>
    <w:p w:rsidR="00CA5E7A" w:rsidRDefault="00A36422">
      <w:pPr>
        <w:pStyle w:val="18"/>
        <w:shd w:val="clear" w:color="auto" w:fill="auto"/>
        <w:ind w:firstLine="760"/>
      </w:pPr>
      <w:r>
        <w:t>- соблюдения принципа недопустимости спекулятивных операций при управлении валютным риском;</w:t>
      </w:r>
    </w:p>
    <w:p w:rsidR="00CA5E7A" w:rsidRDefault="00A36422">
      <w:pPr>
        <w:pStyle w:val="18"/>
        <w:shd w:val="clear" w:color="auto" w:fill="auto"/>
        <w:ind w:firstLine="760"/>
      </w:pPr>
      <w:r>
        <w:t>- используемых типов финансовых инструментов;</w:t>
      </w:r>
    </w:p>
    <w:p w:rsidR="00CA5E7A" w:rsidRDefault="00A36422">
      <w:pPr>
        <w:pStyle w:val="18"/>
        <w:shd w:val="clear" w:color="auto" w:fill="auto"/>
        <w:ind w:firstLine="760"/>
      </w:pPr>
      <w:r>
        <w:t>- проводимых операций на предмет соответствия рыночным условиям.</w:t>
      </w:r>
    </w:p>
    <w:p w:rsidR="00CA5E7A" w:rsidRDefault="00A36422">
      <w:pPr>
        <w:pStyle w:val="afff7"/>
        <w:widowControl/>
        <w:shd w:val="clear" w:color="auto" w:fill="auto"/>
        <w:tabs>
          <w:tab w:val="num" w:pos="0"/>
        </w:tabs>
        <w:ind w:firstLine="709"/>
      </w:pPr>
      <w:r>
        <w:rPr>
          <w:color w:val="000000"/>
          <w:lang w:bidi="ru-RU"/>
        </w:rPr>
        <w:t xml:space="preserve">Результаты мониторинга представляются ПУРиВК </w:t>
      </w:r>
      <w:r>
        <w:t>Общества по</w:t>
      </w:r>
      <w:r>
        <w:rPr>
          <w:color w:val="000000"/>
          <w:lang w:bidi="ru-RU"/>
        </w:rPr>
        <w:t xml:space="preserve"> запросу в орган управления </w:t>
      </w:r>
      <w:r>
        <w:rPr>
          <w:spacing w:val="-8"/>
        </w:rPr>
        <w:t>Общества</w:t>
      </w:r>
      <w:r>
        <w:rPr>
          <w:color w:val="000000"/>
          <w:lang w:bidi="ru-RU"/>
        </w:rPr>
        <w:t>.</w:t>
      </w:r>
    </w:p>
    <w:p w:rsidR="00CA5E7A" w:rsidRDefault="00A36422">
      <w:pPr>
        <w:pStyle w:val="2"/>
        <w:tabs>
          <w:tab w:val="clear" w:pos="1219"/>
          <w:tab w:val="left" w:pos="567"/>
        </w:tabs>
        <w:spacing w:before="120"/>
        <w:ind w:firstLine="709"/>
        <w:jc w:val="both"/>
      </w:pPr>
      <w:bookmarkStart w:id="19" w:name="bookmark11"/>
      <w:bookmarkStart w:id="20" w:name="_Toc17"/>
      <w:r>
        <w:t xml:space="preserve">3.6. Отчетность и обмен информацией в рамках управления валютным риском </w:t>
      </w:r>
      <w:bookmarkEnd w:id="19"/>
      <w:bookmarkEnd w:id="20"/>
    </w:p>
    <w:p w:rsidR="00CA5E7A" w:rsidRDefault="00A36422">
      <w:pPr>
        <w:pStyle w:val="ConsPlusNormal"/>
        <w:ind w:firstLine="709"/>
        <w:jc w:val="both"/>
        <w:rPr>
          <w:sz w:val="28"/>
          <w:szCs w:val="28"/>
        </w:rPr>
      </w:pPr>
      <w:r>
        <w:rPr>
          <w:sz w:val="28"/>
          <w:szCs w:val="28"/>
        </w:rPr>
        <w:t>Основные положения в части отчетности и обмена информацией внутреннего контроля соответствуют положениям Политики.</w:t>
      </w:r>
    </w:p>
    <w:p w:rsidR="00CA5E7A" w:rsidRDefault="00A36422">
      <w:pPr>
        <w:pStyle w:val="ConsPlusNormal"/>
        <w:ind w:firstLine="709"/>
        <w:jc w:val="both"/>
        <w:rPr>
          <w:sz w:val="28"/>
          <w:szCs w:val="28"/>
        </w:rPr>
      </w:pPr>
      <w:r>
        <w:rPr>
          <w:sz w:val="28"/>
          <w:szCs w:val="28"/>
        </w:rPr>
        <w:t>3.6.1. Настоящее Положение уточняет следующие особенности:</w:t>
      </w:r>
    </w:p>
    <w:p w:rsidR="00CA5E7A" w:rsidRDefault="00A36422">
      <w:pPr>
        <w:pStyle w:val="ConsPlusNormal"/>
        <w:ind w:firstLine="709"/>
        <w:jc w:val="both"/>
        <w:rPr>
          <w:sz w:val="28"/>
          <w:szCs w:val="28"/>
        </w:rPr>
      </w:pPr>
      <w:r>
        <w:rPr>
          <w:sz w:val="28"/>
          <w:szCs w:val="28"/>
        </w:rPr>
        <w:t>Отчетность СУРиВК формируется по валютному риску для решения следующих задач:</w:t>
      </w:r>
    </w:p>
    <w:p w:rsidR="00CA5E7A" w:rsidRDefault="00A36422">
      <w:pPr>
        <w:pStyle w:val="a"/>
        <w:numPr>
          <w:ilvl w:val="0"/>
          <w:numId w:val="0"/>
        </w:numPr>
        <w:ind w:firstLine="709"/>
      </w:pPr>
      <w:r>
        <w:t xml:space="preserve">- представление органу управления </w:t>
      </w:r>
      <w:r>
        <w:rPr>
          <w:spacing w:val="-8"/>
        </w:rPr>
        <w:t>Общества (</w:t>
      </w:r>
      <w:r>
        <w:t>своевременной и систематизированной информации о валютном риске, факторах валютного риска, результатах оценки валютного риска и динамике ОВП в разных валютах, динамике изменения валютного курса, принятых способах реагирования, составе и эффективности мероприятий по управлению валютным риском;</w:t>
      </w:r>
    </w:p>
    <w:p w:rsidR="00CA5E7A" w:rsidRDefault="00A36422">
      <w:pPr>
        <w:pStyle w:val="a"/>
        <w:numPr>
          <w:ilvl w:val="0"/>
          <w:numId w:val="0"/>
        </w:numPr>
        <w:ind w:firstLine="709"/>
      </w:pPr>
      <w:r>
        <w:t>- оптимизация бизнес-процессов Общества, порядка взаимодействия участников при управлении валютным риском;</w:t>
      </w:r>
    </w:p>
    <w:p w:rsidR="00CA5E7A" w:rsidRDefault="00A36422">
      <w:pPr>
        <w:pStyle w:val="a"/>
        <w:numPr>
          <w:ilvl w:val="0"/>
          <w:numId w:val="0"/>
        </w:numPr>
        <w:ind w:firstLine="709"/>
      </w:pPr>
      <w:r>
        <w:lastRenderedPageBreak/>
        <w:t>- разработка и актуализация локальных нормативных актов и внутренних распорядительных документов Общества в области управления валютным риском с учетом накопленных статистических данных по валютному риску.</w:t>
      </w:r>
    </w:p>
    <w:p w:rsidR="00CA5E7A" w:rsidRDefault="00A36422">
      <w:pPr>
        <w:pStyle w:val="a"/>
        <w:numPr>
          <w:ilvl w:val="0"/>
          <w:numId w:val="0"/>
        </w:numPr>
        <w:ind w:firstLine="709"/>
        <w:rPr>
          <w:color w:val="000000"/>
          <w:lang w:eastAsia="ru-RU" w:bidi="ru-RU"/>
        </w:rPr>
      </w:pPr>
      <w:r>
        <w:rPr>
          <w:color w:val="000000"/>
          <w:lang w:eastAsia="ru-RU" w:bidi="ru-RU"/>
        </w:rPr>
        <w:t>3.6.2. Требованиями к управленческой отчетности по валютному риску являются релевантность, точность, достоверность, своевременность, полнота.</w:t>
      </w:r>
    </w:p>
    <w:p w:rsidR="00CA5E7A" w:rsidRDefault="00A36422">
      <w:pPr>
        <w:pStyle w:val="a"/>
        <w:numPr>
          <w:ilvl w:val="0"/>
          <w:numId w:val="0"/>
        </w:numPr>
        <w:ind w:firstLine="709"/>
        <w:rPr>
          <w:color w:val="000000"/>
          <w:lang w:eastAsia="ru-RU" w:bidi="ru-RU"/>
        </w:rPr>
      </w:pPr>
      <w:r>
        <w:rPr>
          <w:color w:val="000000"/>
          <w:lang w:eastAsia="ru-RU" w:bidi="ru-RU"/>
        </w:rPr>
        <w:t>3.6.3. Формы отчетности Общества разрабатываются на основании форм отчетности, утвержденных локальным нормативным актом ПАО «Газпром», МРГ.</w:t>
      </w:r>
    </w:p>
    <w:p w:rsidR="00CA5E7A" w:rsidRDefault="00A36422">
      <w:pPr>
        <w:jc w:val="both"/>
        <w:rPr>
          <w:color w:val="000000"/>
          <w:sz w:val="28"/>
          <w:szCs w:val="28"/>
          <w:lang w:eastAsia="ru-RU" w:bidi="ru-RU"/>
        </w:rPr>
      </w:pPr>
      <w:r>
        <w:rPr>
          <w:color w:val="000000"/>
          <w:sz w:val="28"/>
          <w:szCs w:val="28"/>
          <w:lang w:eastAsia="ru-RU" w:bidi="ru-RU"/>
        </w:rPr>
        <w:t>3.6.4. Формы отчетности Общества по валютному риску должны содержать следующую информацию:</w:t>
      </w:r>
    </w:p>
    <w:p w:rsidR="00CA5E7A" w:rsidRDefault="00A36422">
      <w:pPr>
        <w:pStyle w:val="a"/>
        <w:ind w:left="0" w:firstLine="709"/>
      </w:pPr>
      <w:r>
        <w:t>подверженность валютному риску на отчетную дату;</w:t>
      </w:r>
    </w:p>
    <w:p w:rsidR="00CA5E7A" w:rsidRDefault="00A36422">
      <w:pPr>
        <w:pStyle w:val="a"/>
        <w:ind w:left="0" w:firstLine="709"/>
      </w:pPr>
      <w:r>
        <w:t>сведения о величине, динамике риска в отношении отдельных ОВП, а также в отношении позиций в ПФИ;</w:t>
      </w:r>
    </w:p>
    <w:p w:rsidR="00CA5E7A" w:rsidRDefault="00A36422">
      <w:pPr>
        <w:pStyle w:val="a"/>
        <w:ind w:left="0" w:firstLine="709"/>
      </w:pPr>
      <w:r>
        <w:t>сведения об уровне риска по агрегированным позициям по финансовым инструментам (активам и обязательствам), чувствительным к изменению валютных курсов;</w:t>
      </w:r>
    </w:p>
    <w:p w:rsidR="00CA5E7A" w:rsidRDefault="00A36422">
      <w:pPr>
        <w:pStyle w:val="a"/>
        <w:ind w:left="0" w:firstLine="709"/>
      </w:pPr>
      <w:r>
        <w:t>результаты стресс-тестирования;</w:t>
      </w:r>
    </w:p>
    <w:p w:rsidR="00CA5E7A" w:rsidRDefault="00A36422">
      <w:pPr>
        <w:pStyle w:val="a"/>
        <w:ind w:left="0" w:firstLine="709"/>
      </w:pPr>
      <w:r>
        <w:t>результаты количественной и качественной оценки валютного риска используемым методом (используемыми методами);</w:t>
      </w:r>
    </w:p>
    <w:p w:rsidR="00CA5E7A" w:rsidRDefault="00A36422">
      <w:pPr>
        <w:pStyle w:val="a"/>
        <w:ind w:left="0" w:firstLine="709"/>
      </w:pPr>
      <w:r>
        <w:t>прогнозные показатели по финансовым инструментам, чувствительным к изменению валютных курсов;</w:t>
      </w:r>
    </w:p>
    <w:p w:rsidR="00CA5E7A" w:rsidRDefault="00A36422">
      <w:pPr>
        <w:pStyle w:val="a"/>
        <w:ind w:left="0" w:firstLine="709"/>
      </w:pPr>
      <w:r>
        <w:t>сведения о конверсионных операциях Общества, проведенных в отчетный период;</w:t>
      </w:r>
    </w:p>
    <w:p w:rsidR="00CA5E7A" w:rsidRDefault="00A36422">
      <w:pPr>
        <w:pStyle w:val="a"/>
        <w:ind w:left="0" w:firstLine="709"/>
      </w:pPr>
      <w:r>
        <w:t>сведения о соблюдении лимитов валютного риска, причинах и последствиях их превышения, принятых корректирующих мероприятиях;</w:t>
      </w:r>
    </w:p>
    <w:p w:rsidR="00CA5E7A" w:rsidRDefault="00A36422">
      <w:pPr>
        <w:pStyle w:val="a"/>
        <w:ind w:left="0" w:firstLine="709"/>
      </w:pPr>
      <w:r>
        <w:t>сведения о случаях реализации валютного риска, финансовые и нефинансовые последствия реализации валютного риска;</w:t>
      </w:r>
    </w:p>
    <w:p w:rsidR="00CA5E7A" w:rsidRDefault="00A36422">
      <w:pPr>
        <w:pStyle w:val="a"/>
        <w:ind w:left="0" w:firstLine="709"/>
      </w:pPr>
      <w:r>
        <w:t>сведения о мероприятиях по управлению валютным риском.</w:t>
      </w:r>
    </w:p>
    <w:p w:rsidR="00CA5E7A" w:rsidRDefault="00A36422">
      <w:pPr>
        <w:pStyle w:val="18"/>
        <w:widowControl/>
        <w:shd w:val="clear" w:color="auto" w:fill="auto"/>
        <w:ind w:firstLine="709"/>
      </w:pPr>
      <w:r>
        <w:t>3.6.5. В отчетность включаются также (при наличии):</w:t>
      </w:r>
    </w:p>
    <w:p w:rsidR="00CA5E7A" w:rsidRDefault="00A36422">
      <w:pPr>
        <w:pStyle w:val="18"/>
        <w:shd w:val="clear" w:color="auto" w:fill="auto"/>
        <w:ind w:firstLine="740"/>
      </w:pPr>
      <w:r>
        <w:t>сведения ПУРиВК Общества о несоответствии применяемых правил и процедур управления валютным риском локальным нормативным актам ПАО «Газпром», МРГ и Общества;</w:t>
      </w:r>
    </w:p>
    <w:p w:rsidR="00CA5E7A" w:rsidRDefault="00A36422">
      <w:pPr>
        <w:pStyle w:val="18"/>
        <w:widowControl/>
        <w:shd w:val="clear" w:color="auto" w:fill="auto"/>
        <w:ind w:firstLine="709"/>
      </w:pPr>
      <w:r>
        <w:t>заключения подразделения (работника) внутреннего аудита Общества, а также привлекаемых Обществом в установленном порядке внешних аудиторов по оценке эффективности управления валютным риском.</w:t>
      </w:r>
    </w:p>
    <w:p w:rsidR="00CA5E7A" w:rsidRDefault="00A36422">
      <w:pPr>
        <w:pStyle w:val="afff7"/>
        <w:widowControl/>
        <w:shd w:val="clear" w:color="auto" w:fill="auto"/>
        <w:ind w:firstLine="709"/>
      </w:pPr>
      <w:r>
        <w:t xml:space="preserve">3.6.6. Отчетность по валютному риску хранится в информационно- управляющих системах Общества в течение срока, определенного законодательством и локальными нормативными актами Общества, разработанными на основании локальных нормативных актов ПАО «Газпром», МРГ. </w:t>
      </w:r>
    </w:p>
    <w:p w:rsidR="00CA5E7A" w:rsidRDefault="00A36422">
      <w:pPr>
        <w:pStyle w:val="2"/>
        <w:numPr>
          <w:ilvl w:val="1"/>
          <w:numId w:val="10"/>
        </w:numPr>
        <w:tabs>
          <w:tab w:val="clear" w:pos="1219"/>
          <w:tab w:val="left" w:pos="1134"/>
        </w:tabs>
        <w:spacing w:before="120"/>
        <w:ind w:left="0" w:firstLine="709"/>
        <w:jc w:val="both"/>
      </w:pPr>
      <w:bookmarkStart w:id="21" w:name="_Toc18"/>
      <w:r>
        <w:t xml:space="preserve"> Оценка эффективности управления валютным риском </w:t>
      </w:r>
      <w:bookmarkEnd w:id="21"/>
    </w:p>
    <w:p w:rsidR="00CA5E7A" w:rsidRDefault="00A36422">
      <w:pPr>
        <w:pStyle w:val="afff7"/>
        <w:widowControl/>
        <w:numPr>
          <w:ilvl w:val="2"/>
          <w:numId w:val="10"/>
        </w:numPr>
        <w:shd w:val="clear" w:color="auto" w:fill="auto"/>
        <w:ind w:left="0" w:firstLine="709"/>
      </w:pPr>
      <w:r>
        <w:t>Оценка эффективности управления валютным риском проводится в соответствии с положениями Политики.</w:t>
      </w:r>
    </w:p>
    <w:p w:rsidR="00CA5E7A" w:rsidRDefault="00A36422">
      <w:pPr>
        <w:pStyle w:val="18"/>
        <w:widowControl/>
        <w:shd w:val="clear" w:color="auto" w:fill="auto"/>
        <w:ind w:firstLine="709"/>
      </w:pPr>
      <w:r>
        <w:t xml:space="preserve">3.7.2. Настоящее Положение уточняет следующее: </w:t>
      </w:r>
    </w:p>
    <w:p w:rsidR="00CA5E7A" w:rsidRDefault="00A36422">
      <w:pPr>
        <w:pStyle w:val="18"/>
        <w:widowControl/>
        <w:shd w:val="clear" w:color="auto" w:fill="auto"/>
        <w:tabs>
          <w:tab w:val="left" w:pos="1416"/>
        </w:tabs>
        <w:ind w:firstLine="709"/>
      </w:pPr>
      <w:r>
        <w:lastRenderedPageBreak/>
        <w:t>Оценка эффективности управления валютным риском проводится посредством:</w:t>
      </w:r>
    </w:p>
    <w:p w:rsidR="00CA5E7A" w:rsidRDefault="00A36422">
      <w:pPr>
        <w:pStyle w:val="18"/>
        <w:widowControl/>
        <w:shd w:val="clear" w:color="auto" w:fill="auto"/>
        <w:ind w:firstLine="709"/>
      </w:pPr>
      <w:r>
        <w:t xml:space="preserve">- самооценки эффективности управления валютным риском; </w:t>
      </w:r>
    </w:p>
    <w:p w:rsidR="00CA5E7A" w:rsidRDefault="00A36422">
      <w:pPr>
        <w:pStyle w:val="18"/>
        <w:widowControl/>
        <w:shd w:val="clear" w:color="auto" w:fill="auto"/>
        <w:ind w:firstLine="709"/>
      </w:pPr>
      <w:r>
        <w:t xml:space="preserve">- внутренней оценки эффективности управления валютным риском; </w:t>
      </w:r>
    </w:p>
    <w:p w:rsidR="00CA5E7A" w:rsidRDefault="00A36422">
      <w:pPr>
        <w:pStyle w:val="18"/>
        <w:widowControl/>
        <w:shd w:val="clear" w:color="auto" w:fill="auto"/>
        <w:ind w:firstLine="709"/>
      </w:pPr>
      <w:r>
        <w:t>- внешней оценки эффективности управления валютным риском.</w:t>
      </w:r>
    </w:p>
    <w:p w:rsidR="00CA5E7A" w:rsidRDefault="00A36422">
      <w:pPr>
        <w:pStyle w:val="18"/>
        <w:widowControl/>
        <w:shd w:val="clear" w:color="auto" w:fill="auto"/>
        <w:ind w:firstLine="709"/>
      </w:pPr>
      <w:r>
        <w:t>При проведении оценки эффективности управления валютным риском участники процесса управления валютным риском руководствуются методическими подходами и критериями эффективности, утвержденными Обществом.</w:t>
      </w:r>
    </w:p>
    <w:p w:rsidR="00CA5E7A" w:rsidRDefault="00A36422">
      <w:pPr>
        <w:pStyle w:val="18"/>
        <w:widowControl/>
        <w:numPr>
          <w:ilvl w:val="2"/>
          <w:numId w:val="11"/>
        </w:numPr>
        <w:shd w:val="clear" w:color="auto" w:fill="auto"/>
        <w:tabs>
          <w:tab w:val="left" w:pos="567"/>
        </w:tabs>
        <w:ind w:left="0" w:firstLine="850"/>
      </w:pPr>
      <w:r>
        <w:t>. Подходы к проведению оценки эффективности управления рисками устанавливаются локальными нормативными актами Общества, разработанными на основании локальных нормативных актов ПАО «Газпром» в области управления рисками. Оценка управления валютным риском может быть проведена в составе общей оценки эффективности управления рисками Общества. По мере развития (повышения уровня зрелости) системы управления рисками Общества рекомендуется проведение специальных оценок эффективности управления валютным риском.</w:t>
      </w:r>
    </w:p>
    <w:p w:rsidR="00CA5E7A" w:rsidRDefault="00A36422">
      <w:pPr>
        <w:pStyle w:val="18"/>
        <w:widowControl/>
        <w:numPr>
          <w:ilvl w:val="2"/>
          <w:numId w:val="11"/>
        </w:numPr>
        <w:tabs>
          <w:tab w:val="left" w:pos="567"/>
        </w:tabs>
        <w:ind w:left="0" w:firstLine="850"/>
      </w:pPr>
      <w:r>
        <w:t xml:space="preserve">. Владельцы (совладельцы) валютного риска Общества осуществляют самооценку эффективности управления валютным риском для учета результатов при составлении сводной отчетности по рискам и отчетности по валютному риску. </w:t>
      </w:r>
    </w:p>
    <w:p w:rsidR="00CA5E7A" w:rsidRDefault="00A36422">
      <w:pPr>
        <w:pStyle w:val="18"/>
        <w:widowControl/>
        <w:numPr>
          <w:ilvl w:val="2"/>
          <w:numId w:val="11"/>
        </w:numPr>
        <w:shd w:val="clear" w:color="auto" w:fill="auto"/>
        <w:tabs>
          <w:tab w:val="left" w:pos="567"/>
        </w:tabs>
        <w:ind w:left="0" w:firstLine="850"/>
      </w:pPr>
      <w:r>
        <w:t>. При проведении самооценки эффективности управления валютным риском владельцы (совладельцы) валютного риска Общества руководствуются методическими подходами и критериями эффективности, установленными локальными нормативными актами ПАО «Газпром», МРГ и Общества.</w:t>
      </w:r>
    </w:p>
    <w:p w:rsidR="00CA5E7A" w:rsidRDefault="00A36422">
      <w:pPr>
        <w:pStyle w:val="18"/>
        <w:widowControl/>
        <w:numPr>
          <w:ilvl w:val="2"/>
          <w:numId w:val="11"/>
        </w:numPr>
        <w:shd w:val="clear" w:color="auto" w:fill="auto"/>
        <w:tabs>
          <w:tab w:val="left" w:pos="567"/>
        </w:tabs>
        <w:ind w:left="0" w:firstLine="850"/>
      </w:pPr>
      <w:r>
        <w:t xml:space="preserve">. Результаты самооценки управления валютным риском направляются владельцем валютного риска в ПУРиВК Общества для дальнейшего рассмотрения органом управления </w:t>
      </w:r>
      <w:r>
        <w:rPr>
          <w:spacing w:val="-8"/>
        </w:rPr>
        <w:t>Общества</w:t>
      </w:r>
      <w:r>
        <w:t>.</w:t>
      </w:r>
    </w:p>
    <w:p w:rsidR="00CA5E7A" w:rsidRDefault="00A36422">
      <w:pPr>
        <w:pStyle w:val="18"/>
        <w:widowControl/>
        <w:numPr>
          <w:ilvl w:val="2"/>
          <w:numId w:val="11"/>
        </w:numPr>
        <w:shd w:val="clear" w:color="auto" w:fill="auto"/>
        <w:tabs>
          <w:tab w:val="left" w:pos="567"/>
        </w:tabs>
        <w:ind w:left="0" w:firstLine="850"/>
      </w:pPr>
      <w:r>
        <w:t>. Внутренняя оценка эффективности управления валютным риском проводится следующими участниками процесса управления валютным риском:</w:t>
      </w:r>
    </w:p>
    <w:p w:rsidR="00CA5E7A" w:rsidRDefault="00A36422">
      <w:pPr>
        <w:pStyle w:val="18"/>
        <w:shd w:val="clear" w:color="auto" w:fill="auto"/>
        <w:ind w:firstLine="850"/>
      </w:pPr>
      <w:r>
        <w:t>на уровне Общества– подразделением (работником) внутреннего аудита Общества, подразделением (работником) внутреннего аудита МРГ, подразделением внутреннего аудита ПАО «Газпром» и Единым казначейством (в случае необходимости).</w:t>
      </w:r>
    </w:p>
    <w:p w:rsidR="00CA5E7A" w:rsidRDefault="00A36422">
      <w:pPr>
        <w:pStyle w:val="18"/>
        <w:widowControl/>
        <w:shd w:val="clear" w:color="auto" w:fill="auto"/>
        <w:ind w:firstLine="850"/>
      </w:pPr>
      <w:r>
        <w:t xml:space="preserve">Результаты внутренней оценки управления валютным риском направляются подразделением (работником) внутреннего аудита Общества на рассмотрение органа управления </w:t>
      </w:r>
      <w:r>
        <w:rPr>
          <w:spacing w:val="-8"/>
        </w:rPr>
        <w:t>Общества</w:t>
      </w:r>
      <w:r>
        <w:t>.</w:t>
      </w:r>
    </w:p>
    <w:p w:rsidR="00CA5E7A" w:rsidRDefault="00A36422">
      <w:pPr>
        <w:pStyle w:val="18"/>
        <w:widowControl/>
        <w:numPr>
          <w:ilvl w:val="2"/>
          <w:numId w:val="11"/>
        </w:numPr>
        <w:tabs>
          <w:tab w:val="left" w:pos="567"/>
        </w:tabs>
        <w:ind w:left="0" w:firstLine="850"/>
      </w:pPr>
      <w:r>
        <w:t>. Внешняя оценка эффективности управления валютным риском проводится внешними (не входящими в Группу Газпром) организациями.</w:t>
      </w:r>
    </w:p>
    <w:p w:rsidR="00CA5E7A" w:rsidRDefault="00A36422">
      <w:pPr>
        <w:pStyle w:val="18"/>
        <w:widowControl/>
        <w:numPr>
          <w:ilvl w:val="2"/>
          <w:numId w:val="11"/>
        </w:numPr>
        <w:tabs>
          <w:tab w:val="left" w:pos="567"/>
        </w:tabs>
        <w:ind w:left="0" w:firstLine="850"/>
      </w:pPr>
      <w:r>
        <w:t>. Участники процесса управления валютным риском ПАО «Газпром» вправе инициировать внешнюю оценку эффективности Общества.</w:t>
      </w:r>
    </w:p>
    <w:p w:rsidR="00CA5E7A" w:rsidRDefault="00A36422">
      <w:pPr>
        <w:pStyle w:val="18"/>
        <w:widowControl/>
        <w:numPr>
          <w:ilvl w:val="2"/>
          <w:numId w:val="11"/>
        </w:numPr>
        <w:tabs>
          <w:tab w:val="left" w:pos="567"/>
          <w:tab w:val="left" w:pos="1560"/>
        </w:tabs>
        <w:ind w:left="0" w:firstLine="850"/>
      </w:pPr>
      <w:r>
        <w:t xml:space="preserve">. Порядок и критерии выбора внешней организации для проведения внешней оценки, а также принципы взаимодействия с ней в рамках внешней </w:t>
      </w:r>
      <w:r>
        <w:lastRenderedPageBreak/>
        <w:t>оценки устанавливаются внутренними документами ПАО «Газпром», МРГ и Общества.</w:t>
      </w:r>
    </w:p>
    <w:p w:rsidR="00CA5E7A" w:rsidRDefault="00A36422">
      <w:pPr>
        <w:pStyle w:val="18"/>
        <w:widowControl/>
        <w:numPr>
          <w:ilvl w:val="2"/>
          <w:numId w:val="11"/>
        </w:numPr>
        <w:shd w:val="clear" w:color="auto" w:fill="auto"/>
        <w:tabs>
          <w:tab w:val="left" w:pos="567"/>
          <w:tab w:val="left" w:pos="1560"/>
        </w:tabs>
        <w:ind w:left="0" w:firstLine="850"/>
      </w:pPr>
      <w:r>
        <w:t>. Результаты внешней оценки эффективности управления валютным риском Общества направляются всем участникам процесса управления валютным риском Общества.</w:t>
      </w:r>
    </w:p>
    <w:p w:rsidR="00CA5E7A" w:rsidRDefault="00A36422">
      <w:pPr>
        <w:pStyle w:val="1a"/>
        <w:keepNext/>
        <w:keepLines/>
        <w:widowControl/>
        <w:numPr>
          <w:ilvl w:val="1"/>
          <w:numId w:val="10"/>
        </w:numPr>
        <w:shd w:val="clear" w:color="auto" w:fill="auto"/>
        <w:tabs>
          <w:tab w:val="left" w:pos="567"/>
          <w:tab w:val="left" w:pos="709"/>
          <w:tab w:val="left" w:pos="1134"/>
        </w:tabs>
        <w:spacing w:before="120" w:after="120"/>
        <w:ind w:left="0" w:firstLine="709"/>
        <w:outlineLvl w:val="1"/>
      </w:pPr>
      <w:bookmarkStart w:id="22" w:name="_Toc19"/>
      <w:r>
        <w:t xml:space="preserve"> Вн</w:t>
      </w:r>
      <w:r>
        <w:rPr>
          <w:color w:val="000000"/>
          <w:lang w:bidi="ru-RU"/>
        </w:rPr>
        <w:t>утренний контроль управления валютным риском</w:t>
      </w:r>
      <w:bookmarkEnd w:id="22"/>
    </w:p>
    <w:p w:rsidR="00CA5E7A" w:rsidRDefault="00A36422">
      <w:pPr>
        <w:pStyle w:val="18"/>
        <w:widowControl/>
        <w:shd w:val="clear" w:color="auto" w:fill="auto"/>
        <w:ind w:firstLine="709"/>
      </w:pPr>
      <w:r>
        <w:t>Внутренний контроль управления валютным риском реализуется посредством разработки, внедрения и исполнения процедур внутреннего контроля, установленных в Обществе.</w:t>
      </w:r>
    </w:p>
    <w:p w:rsidR="00CA5E7A" w:rsidRDefault="00A36422">
      <w:pPr>
        <w:pStyle w:val="18"/>
        <w:widowControl/>
        <w:numPr>
          <w:ilvl w:val="2"/>
          <w:numId w:val="10"/>
        </w:numPr>
        <w:shd w:val="clear" w:color="auto" w:fill="auto"/>
        <w:ind w:left="0" w:firstLine="709"/>
      </w:pPr>
      <w:r>
        <w:t>ПУРиВК Общества в рамках внутреннего контроля осуществляет:</w:t>
      </w:r>
    </w:p>
    <w:p w:rsidR="00CA5E7A" w:rsidRDefault="00A36422">
      <w:pPr>
        <w:pStyle w:val="18"/>
        <w:widowControl/>
        <w:shd w:val="clear" w:color="auto" w:fill="auto"/>
        <w:ind w:firstLine="709"/>
      </w:pPr>
      <w:r>
        <w:t>- формирование единой политики Общества по управлению валютным риском и внутреннему контролю;</w:t>
      </w:r>
    </w:p>
    <w:p w:rsidR="00CA5E7A" w:rsidRDefault="00A36422">
      <w:pPr>
        <w:pStyle w:val="18"/>
        <w:shd w:val="clear" w:color="auto" w:fill="auto"/>
        <w:ind w:firstLine="740"/>
      </w:pPr>
      <w:r>
        <w:t>- методологическое обеспечение реализации единой политики по управлению валютным риском и внутреннему контролю Общества;</w:t>
      </w:r>
    </w:p>
    <w:p w:rsidR="00CA5E7A" w:rsidRDefault="00A36422">
      <w:pPr>
        <w:pStyle w:val="18"/>
        <w:shd w:val="clear" w:color="auto" w:fill="auto"/>
        <w:ind w:firstLine="740"/>
      </w:pPr>
      <w:r>
        <w:t>- разработку, внедрение, актуализацию методологии организации внутреннего контроля в Обществе;</w:t>
      </w:r>
    </w:p>
    <w:p w:rsidR="00CA5E7A" w:rsidRDefault="00A36422">
      <w:pPr>
        <w:pStyle w:val="18"/>
        <w:shd w:val="clear" w:color="auto" w:fill="auto"/>
        <w:ind w:firstLine="740"/>
      </w:pPr>
      <w:r>
        <w:t>- координацию процессов внутреннего контроля в структурных подразделениях Общества, осуществление мониторинга процессов внутреннего контроля, реализуемых структурными подразделениями Общества в целях внедрения единых принципов и подходов к деятельности Общества в области внутреннего контроля;</w:t>
      </w:r>
    </w:p>
    <w:p w:rsidR="00CA5E7A" w:rsidRDefault="00A36422">
      <w:pPr>
        <w:pStyle w:val="18"/>
        <w:shd w:val="clear" w:color="auto" w:fill="auto"/>
        <w:ind w:firstLine="740"/>
      </w:pPr>
      <w:r>
        <w:t>- разработку и внедрение требований к контрольным процедурам и их составу в бизнес-процессах, включая унификацию и оптимизацию контрольных процедур;</w:t>
      </w:r>
    </w:p>
    <w:p w:rsidR="00CA5E7A" w:rsidRDefault="00A36422">
      <w:pPr>
        <w:pStyle w:val="18"/>
        <w:shd w:val="clear" w:color="auto" w:fill="auto"/>
        <w:ind w:firstLine="740"/>
      </w:pPr>
      <w:r>
        <w:t>- мониторинг соблюдения требований ПАО «Газпром» в области управления валютным риском и внутреннего контроля, в том числе распределения и исполнения лимитов валютного риска;</w:t>
      </w:r>
    </w:p>
    <w:p w:rsidR="00CA5E7A" w:rsidRDefault="00A36422">
      <w:pPr>
        <w:pStyle w:val="18"/>
        <w:shd w:val="clear" w:color="auto" w:fill="auto"/>
        <w:ind w:firstLine="740"/>
      </w:pPr>
      <w:r>
        <w:t>- выявление недостатков существующих контрольных процедур, разработку рекомендаций структурным подразделениям Общества по их устранению;</w:t>
      </w:r>
    </w:p>
    <w:p w:rsidR="00CA5E7A" w:rsidRDefault="00A36422">
      <w:pPr>
        <w:pStyle w:val="18"/>
        <w:shd w:val="clear" w:color="auto" w:fill="auto"/>
        <w:ind w:firstLine="740"/>
      </w:pPr>
      <w:r>
        <w:t>- контроль качества разработанных мероприятий по устранению недостатков контрольных процедур при их самостоятельной разработке структурными подразделениями Общества;</w:t>
      </w:r>
    </w:p>
    <w:p w:rsidR="00CA5E7A" w:rsidRDefault="00A36422">
      <w:pPr>
        <w:pStyle w:val="18"/>
        <w:shd w:val="clear" w:color="auto" w:fill="auto"/>
        <w:ind w:firstLine="740"/>
      </w:pPr>
      <w:r>
        <w:t>- систематизацию информации о недостатках существующих контрольных процедур, контроль за исполнением мероприятий по их устранению и формирование отчетности по системе внутреннего контроля и ее эффективности;</w:t>
      </w:r>
    </w:p>
    <w:p w:rsidR="00CA5E7A" w:rsidRDefault="00A36422">
      <w:pPr>
        <w:pStyle w:val="18"/>
        <w:shd w:val="clear" w:color="auto" w:fill="auto"/>
        <w:ind w:firstLine="740"/>
      </w:pPr>
      <w:r>
        <w:t xml:space="preserve">- формирование рекомендаций органу управления </w:t>
      </w:r>
      <w:r>
        <w:rPr>
          <w:spacing w:val="-8"/>
        </w:rPr>
        <w:t xml:space="preserve">Общества </w:t>
      </w:r>
      <w:r>
        <w:t>по формализации контрольных процедур и повышению эффективности бизнес- процессов;</w:t>
      </w:r>
    </w:p>
    <w:p w:rsidR="00CA5E7A" w:rsidRDefault="00A36422">
      <w:pPr>
        <w:pStyle w:val="18"/>
        <w:widowControl/>
        <w:shd w:val="clear" w:color="auto" w:fill="auto"/>
        <w:ind w:firstLine="709"/>
      </w:pPr>
      <w:r>
        <w:t>- разработку и внедрение механизма взаимодействия и обмена информацией по внутреннему контролю и управлению рисками бизнес- процессов между структурными подразделениями Общества, в том числе с использованием информационно-управляющих систем.</w:t>
      </w:r>
    </w:p>
    <w:p w:rsidR="00CA5E7A" w:rsidRDefault="00A36422">
      <w:pPr>
        <w:pStyle w:val="18"/>
        <w:widowControl/>
        <w:numPr>
          <w:ilvl w:val="2"/>
          <w:numId w:val="10"/>
        </w:numPr>
        <w:shd w:val="clear" w:color="auto" w:fill="auto"/>
        <w:tabs>
          <w:tab w:val="left" w:pos="993"/>
        </w:tabs>
        <w:ind w:left="0" w:firstLine="709"/>
      </w:pPr>
      <w:r>
        <w:lastRenderedPageBreak/>
        <w:t>Подразделение (работник) внутреннего аудита Общества при оценке эффективности системы управления валютным риском в соответствии с планом проводит проверку:</w:t>
      </w:r>
    </w:p>
    <w:p w:rsidR="00CA5E7A" w:rsidRDefault="00A36422">
      <w:pPr>
        <w:pStyle w:val="18"/>
        <w:shd w:val="clear" w:color="auto" w:fill="auto"/>
        <w:tabs>
          <w:tab w:val="left" w:pos="993"/>
        </w:tabs>
        <w:ind w:firstLine="709"/>
      </w:pPr>
      <w:r>
        <w:t>- соблюдения установленных правил и процедур управления валютным риском, методов количественной (качественной) оценки (измерения), принятых в них допущений и используемых параметров;</w:t>
      </w:r>
    </w:p>
    <w:p w:rsidR="00CA5E7A" w:rsidRDefault="00A36422">
      <w:pPr>
        <w:pStyle w:val="18"/>
        <w:shd w:val="clear" w:color="auto" w:fill="auto"/>
        <w:tabs>
          <w:tab w:val="left" w:pos="993"/>
        </w:tabs>
        <w:ind w:firstLine="709"/>
      </w:pPr>
      <w:r>
        <w:t>- соблюдения установленных лимитов валютного риска;</w:t>
      </w:r>
    </w:p>
    <w:p w:rsidR="00CA5E7A" w:rsidRDefault="00A36422">
      <w:pPr>
        <w:pStyle w:val="18"/>
        <w:shd w:val="clear" w:color="auto" w:fill="auto"/>
        <w:tabs>
          <w:tab w:val="left" w:pos="993"/>
        </w:tabs>
        <w:ind w:firstLine="709"/>
      </w:pPr>
      <w:r>
        <w:t>- первичных документов и бухгалтерских счетов по проводимым операциям с финансовыми инструментами, чувствительными к изменению валютных курсов;</w:t>
      </w:r>
    </w:p>
    <w:p w:rsidR="00CA5E7A" w:rsidRDefault="00A36422">
      <w:pPr>
        <w:pStyle w:val="18"/>
        <w:widowControl/>
        <w:shd w:val="clear" w:color="auto" w:fill="auto"/>
        <w:tabs>
          <w:tab w:val="left" w:pos="993"/>
        </w:tabs>
        <w:ind w:firstLine="709"/>
      </w:pPr>
      <w:r>
        <w:t>- соответствия локальных нормативных актов Общества в области внутреннего контроля и управления рисками законодательству Российской Федерации.</w:t>
      </w:r>
    </w:p>
    <w:p w:rsidR="00CA5E7A" w:rsidRDefault="00A36422">
      <w:pPr>
        <w:pStyle w:val="18"/>
        <w:widowControl/>
        <w:numPr>
          <w:ilvl w:val="2"/>
          <w:numId w:val="10"/>
        </w:numPr>
        <w:shd w:val="clear" w:color="auto" w:fill="auto"/>
        <w:tabs>
          <w:tab w:val="left" w:pos="993"/>
        </w:tabs>
        <w:ind w:left="0" w:firstLine="709"/>
      </w:pPr>
      <w:r>
        <w:t>По итогам проверки подразделение (работник) внутреннего аудита Общества составляет отчет, содержащий сведения о недостатках процесса управления валютным риском, результатах оценки эффективности методов измерения валютного риска, системы учета и отчетности. В случае необходимости повышения качества управления валютным риском подразделение (работник) внутреннего аудита Общества предлагает мероприятия по усовершенствованию данной системы.</w:t>
      </w:r>
    </w:p>
    <w:p w:rsidR="00CA5E7A" w:rsidRDefault="00A36422">
      <w:pPr>
        <w:pStyle w:val="18"/>
        <w:widowControl/>
        <w:shd w:val="clear" w:color="auto" w:fill="auto"/>
        <w:tabs>
          <w:tab w:val="left" w:pos="993"/>
        </w:tabs>
        <w:ind w:firstLine="709"/>
      </w:pPr>
      <w:r>
        <w:t>Подразделение (работник) внутреннего аудита Общества в соответствии с планом проверок представляет отчет и предложения по совершенствованию действующих процессов управления валютным риском органу управления Общества.</w:t>
      </w:r>
    </w:p>
    <w:p w:rsidR="00CA5E7A" w:rsidRDefault="00CA5E7A">
      <w:pPr>
        <w:pStyle w:val="aff9"/>
        <w:ind w:firstLine="0"/>
        <w:rPr>
          <w:lang w:eastAsia="de-DE"/>
        </w:rPr>
      </w:pPr>
    </w:p>
    <w:p w:rsidR="00CA5E7A" w:rsidRDefault="00CA5E7A">
      <w:pPr>
        <w:pStyle w:val="afff7"/>
        <w:widowControl/>
        <w:shd w:val="clear" w:color="auto" w:fill="auto"/>
        <w:rPr>
          <w:sz w:val="2"/>
        </w:rPr>
      </w:pPr>
    </w:p>
    <w:sectPr w:rsidR="00CA5E7A">
      <w:headerReference w:type="default" r:id="rId13"/>
      <w:pgSz w:w="11907" w:h="1683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6F2" w:rsidRDefault="009716F2">
      <w:r>
        <w:separator/>
      </w:r>
    </w:p>
    <w:p w:rsidR="009716F2" w:rsidRDefault="009716F2"/>
    <w:p w:rsidR="009716F2" w:rsidRDefault="009716F2"/>
  </w:endnote>
  <w:endnote w:type="continuationSeparator" w:id="0">
    <w:p w:rsidR="009716F2" w:rsidRDefault="009716F2">
      <w:r>
        <w:continuationSeparator/>
      </w:r>
    </w:p>
    <w:p w:rsidR="009716F2" w:rsidRDefault="009716F2"/>
    <w:p w:rsidR="009716F2" w:rsidRDefault="009716F2"/>
  </w:endnote>
  <w:endnote w:type="continuationNotice" w:id="1">
    <w:p w:rsidR="009716F2" w:rsidRDefault="0097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7A" w:rsidRDefault="00A36422">
    <w:pPr>
      <w:pStyle w:val="afb"/>
      <w:ind w:firstLine="0"/>
      <w:jc w:val="center"/>
      <w:rPr>
        <w:sz w:val="28"/>
        <w:szCs w:val="28"/>
      </w:rPr>
    </w:pPr>
    <w:r>
      <w:rPr>
        <w:sz w:val="28"/>
        <w:szCs w:val="28"/>
      </w:rPr>
      <w:t>г. Уфа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7A" w:rsidRDefault="00CA5E7A">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6F2" w:rsidRDefault="009716F2">
      <w:pPr>
        <w:ind w:firstLine="0"/>
        <w:rPr>
          <w:lang w:val="en-US"/>
        </w:rPr>
      </w:pPr>
      <w:r>
        <w:separator/>
      </w:r>
    </w:p>
  </w:footnote>
  <w:footnote w:type="continuationSeparator" w:id="0">
    <w:p w:rsidR="009716F2" w:rsidRDefault="009716F2">
      <w:r>
        <w:continuationSeparator/>
      </w:r>
    </w:p>
    <w:p w:rsidR="009716F2" w:rsidRDefault="009716F2"/>
    <w:p w:rsidR="009716F2" w:rsidRDefault="009716F2"/>
  </w:footnote>
  <w:footnote w:type="continuationNotice" w:id="1">
    <w:p w:rsidR="009716F2" w:rsidRDefault="009716F2"/>
  </w:footnote>
  <w:footnote w:id="2">
    <w:p w:rsidR="00CA5E7A" w:rsidRDefault="00A36422">
      <w:pPr>
        <w:pStyle w:val="aff0"/>
        <w:jc w:val="both"/>
        <w:rPr>
          <w:sz w:val="24"/>
          <w:szCs w:val="24"/>
        </w:rPr>
      </w:pPr>
      <w:r>
        <w:rPr>
          <w:rStyle w:val="aff2"/>
          <w:sz w:val="24"/>
          <w:szCs w:val="24"/>
        </w:rPr>
        <w:footnoteRef/>
      </w:r>
      <w:r>
        <w:rPr>
          <w:sz w:val="24"/>
          <w:szCs w:val="24"/>
        </w:rPr>
        <w:t xml:space="preserve"> Стандарты управления рисками </w:t>
      </w:r>
      <w:r>
        <w:rPr>
          <w:sz w:val="24"/>
          <w:szCs w:val="24"/>
          <w:lang w:val="en-US"/>
        </w:rPr>
        <w:t>ISO</w:t>
      </w:r>
      <w:r>
        <w:rPr>
          <w:sz w:val="24"/>
          <w:szCs w:val="24"/>
        </w:rPr>
        <w:t xml:space="preserve"> 31000, стандарты Федерации европейских ассоциаций риск-менеджеров (</w:t>
      </w:r>
      <w:r>
        <w:rPr>
          <w:sz w:val="24"/>
          <w:szCs w:val="24"/>
          <w:lang w:val="en-US"/>
        </w:rPr>
        <w:t>FERMA</w:t>
      </w:r>
      <w:r>
        <w:rPr>
          <w:sz w:val="24"/>
          <w:szCs w:val="24"/>
        </w:rPr>
        <w:t>), Комитета спонсорских организаций Комиссии Тредвея (</w:t>
      </w:r>
      <w:r>
        <w:rPr>
          <w:sz w:val="24"/>
          <w:szCs w:val="24"/>
          <w:lang w:val="en-US"/>
        </w:rPr>
        <w:t>COSO</w:t>
      </w:r>
      <w:r>
        <w:rPr>
          <w:sz w:val="24"/>
          <w:szCs w:val="24"/>
        </w:rPr>
        <w:t>), Комитета директоров по рискам (</w:t>
      </w:r>
      <w:r>
        <w:rPr>
          <w:sz w:val="24"/>
          <w:szCs w:val="24"/>
          <w:lang w:val="en-US"/>
        </w:rPr>
        <w:t>CCRO</w:t>
      </w:r>
      <w:r>
        <w:rPr>
          <w:sz w:val="24"/>
          <w:szCs w:val="24"/>
        </w:rPr>
        <w:t>), Базельского комитета по банковскому надзору, а также ГОСТы серии «Менеджмент риска».</w:t>
      </w:r>
    </w:p>
  </w:footnote>
  <w:footnote w:id="3">
    <w:p w:rsidR="00CA5E7A" w:rsidRDefault="00A36422">
      <w:pPr>
        <w:pStyle w:val="2b"/>
        <w:shd w:val="clear" w:color="auto" w:fill="auto"/>
        <w:ind w:firstLine="709"/>
      </w:pPr>
      <w:r>
        <w:rPr>
          <w:rStyle w:val="aff2"/>
        </w:rPr>
        <w:footnoteRef/>
      </w:r>
      <w:r>
        <w:t xml:space="preserve"> </w:t>
      </w:r>
      <w:r>
        <w:rPr>
          <w:color w:val="000000"/>
          <w:sz w:val="24"/>
          <w:szCs w:val="24"/>
          <w:lang w:bidi="ru-RU"/>
        </w:rPr>
        <w:t>Первая линия защиты – управление валютным риском и внутренний контроль на уровне бизнес-процессов.</w:t>
      </w:r>
    </w:p>
    <w:p w:rsidR="00CA5E7A" w:rsidRDefault="00A36422">
      <w:pPr>
        <w:pStyle w:val="2b"/>
        <w:shd w:val="clear" w:color="auto" w:fill="auto"/>
        <w:ind w:firstLine="709"/>
      </w:pPr>
      <w:r>
        <w:rPr>
          <w:color w:val="000000"/>
          <w:sz w:val="24"/>
          <w:szCs w:val="24"/>
          <w:lang w:bidi="ru-RU"/>
        </w:rPr>
        <w:t>Вторая линия защиты – формирование единой политики в области управления валютным риском и внутреннего контроля, методологическое обеспечение ее реализации, а также координация деятельности структурных подразделений Общества по управлению валютным риском и внутреннему контролю.</w:t>
      </w:r>
    </w:p>
    <w:p w:rsidR="00CA5E7A" w:rsidRDefault="00A36422">
      <w:pPr>
        <w:pStyle w:val="2b"/>
        <w:shd w:val="clear" w:color="auto" w:fill="auto"/>
        <w:ind w:firstLine="709"/>
      </w:pPr>
      <w:r>
        <w:rPr>
          <w:color w:val="000000"/>
          <w:sz w:val="24"/>
          <w:szCs w:val="24"/>
          <w:lang w:bidi="ru-RU"/>
        </w:rPr>
        <w:t>Третья линия защиты – независимая и объективная внутренняя оценка эффективности управления валютным риском и внутреннего контроля.</w:t>
      </w:r>
    </w:p>
    <w:p w:rsidR="00CA5E7A" w:rsidRDefault="00CA5E7A">
      <w:pPr>
        <w:pStyle w:val="a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7A" w:rsidRDefault="00CA5E7A">
    <w:pPr>
      <w:pStyle w:val="af9"/>
      <w:jc w:val="right"/>
    </w:pPr>
  </w:p>
  <w:p w:rsidR="00CA5E7A" w:rsidRDefault="00CA5E7A">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7A" w:rsidRDefault="00A36422">
    <w:pPr>
      <w:pStyle w:val="af9"/>
      <w:jc w:val="right"/>
    </w:pPr>
    <w:r>
      <w:fldChar w:fldCharType="begin"/>
    </w:r>
    <w:r>
      <w:instrText xml:space="preserve"> PAGE   \* MERGEFORMAT </w:instrText>
    </w:r>
    <w:r>
      <w:fldChar w:fldCharType="separate"/>
    </w:r>
    <w:r w:rsidR="00065AAD">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E7A" w:rsidRDefault="00A36422">
    <w:pPr>
      <w:pStyle w:val="af9"/>
      <w:jc w:val="right"/>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F23C60">
      <w:rPr>
        <w:noProof/>
        <w:sz w:val="22"/>
        <w:szCs w:val="22"/>
      </w:rPr>
      <w:t>3</w:t>
    </w:r>
    <w:r>
      <w:rPr>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72DB9"/>
    <w:multiLevelType w:val="multilevel"/>
    <w:tmpl w:val="1B026A56"/>
    <w:lvl w:ilvl="0">
      <w:start w:val="3"/>
      <w:numFmt w:val="decimal"/>
      <w:lvlText w:val="%1."/>
      <w:lvlJc w:val="left"/>
      <w:pPr>
        <w:ind w:left="675" w:hanging="675"/>
      </w:pPr>
      <w:rPr>
        <w:rFonts w:hint="default"/>
      </w:rPr>
    </w:lvl>
    <w:lvl w:ilvl="1">
      <w:start w:val="1"/>
      <w:numFmt w:val="decimal"/>
      <w:lvlText w:val="%1.%2."/>
      <w:lvlJc w:val="left"/>
      <w:pPr>
        <w:ind w:left="1337" w:hanging="720"/>
      </w:pPr>
      <w:rPr>
        <w:rFonts w:hint="default"/>
      </w:rPr>
    </w:lvl>
    <w:lvl w:ilvl="2">
      <w:start w:val="2"/>
      <w:numFmt w:val="decimal"/>
      <w:lvlText w:val="%1.%2.%3."/>
      <w:lvlJc w:val="left"/>
      <w:pPr>
        <w:ind w:left="1954" w:hanging="720"/>
      </w:pPr>
      <w:rPr>
        <w:rFonts w:hint="default"/>
      </w:rPr>
    </w:lvl>
    <w:lvl w:ilvl="3">
      <w:start w:val="1"/>
      <w:numFmt w:val="decimal"/>
      <w:lvlText w:val="%1.%2.%3.%4."/>
      <w:lvlJc w:val="left"/>
      <w:pPr>
        <w:ind w:left="2931" w:hanging="108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525" w:hanging="1440"/>
      </w:pPr>
      <w:rPr>
        <w:rFonts w:hint="default"/>
      </w:rPr>
    </w:lvl>
    <w:lvl w:ilvl="6">
      <w:start w:val="1"/>
      <w:numFmt w:val="decimal"/>
      <w:lvlText w:val="%1.%2.%3.%4.%5.%6.%7."/>
      <w:lvlJc w:val="left"/>
      <w:pPr>
        <w:ind w:left="5502" w:hanging="1800"/>
      </w:pPr>
      <w:rPr>
        <w:rFonts w:hint="default"/>
      </w:rPr>
    </w:lvl>
    <w:lvl w:ilvl="7">
      <w:start w:val="1"/>
      <w:numFmt w:val="decimal"/>
      <w:lvlText w:val="%1.%2.%3.%4.%5.%6.%7.%8."/>
      <w:lvlJc w:val="left"/>
      <w:pPr>
        <w:ind w:left="6119" w:hanging="1800"/>
      </w:pPr>
      <w:rPr>
        <w:rFonts w:hint="default"/>
      </w:rPr>
    </w:lvl>
    <w:lvl w:ilvl="8">
      <w:start w:val="1"/>
      <w:numFmt w:val="decimal"/>
      <w:lvlText w:val="%1.%2.%3.%4.%5.%6.%7.%8.%9."/>
      <w:lvlJc w:val="left"/>
      <w:pPr>
        <w:ind w:left="7096" w:hanging="2160"/>
      </w:pPr>
      <w:rPr>
        <w:rFonts w:hint="default"/>
      </w:rPr>
    </w:lvl>
  </w:abstractNum>
  <w:abstractNum w:abstractNumId="1" w15:restartNumberingAfterBreak="0">
    <w:nsid w:val="12A32D0A"/>
    <w:multiLevelType w:val="multilevel"/>
    <w:tmpl w:val="DF02CA5C"/>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15:restartNumberingAfterBreak="0">
    <w:nsid w:val="158E230D"/>
    <w:multiLevelType w:val="hybridMultilevel"/>
    <w:tmpl w:val="A16C5522"/>
    <w:lvl w:ilvl="0" w:tplc="4D46E944">
      <w:start w:val="1"/>
      <w:numFmt w:val="decimal"/>
      <w:lvlText w:val="1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9B72DD2C">
      <w:start w:val="1"/>
      <w:numFmt w:val="decimal"/>
      <w:lvlText w:val=""/>
      <w:lvlJc w:val="left"/>
    </w:lvl>
    <w:lvl w:ilvl="2" w:tplc="8760E89E">
      <w:start w:val="1"/>
      <w:numFmt w:val="decimal"/>
      <w:lvlText w:val=""/>
      <w:lvlJc w:val="left"/>
    </w:lvl>
    <w:lvl w:ilvl="3" w:tplc="756C27EE">
      <w:start w:val="1"/>
      <w:numFmt w:val="decimal"/>
      <w:lvlText w:val=""/>
      <w:lvlJc w:val="left"/>
    </w:lvl>
    <w:lvl w:ilvl="4" w:tplc="503C72CC">
      <w:start w:val="1"/>
      <w:numFmt w:val="decimal"/>
      <w:lvlText w:val=""/>
      <w:lvlJc w:val="left"/>
    </w:lvl>
    <w:lvl w:ilvl="5" w:tplc="66AEA686">
      <w:start w:val="1"/>
      <w:numFmt w:val="decimal"/>
      <w:lvlText w:val=""/>
      <w:lvlJc w:val="left"/>
    </w:lvl>
    <w:lvl w:ilvl="6" w:tplc="05D2BC40">
      <w:start w:val="1"/>
      <w:numFmt w:val="decimal"/>
      <w:lvlText w:val=""/>
      <w:lvlJc w:val="left"/>
    </w:lvl>
    <w:lvl w:ilvl="7" w:tplc="98162DCE">
      <w:start w:val="1"/>
      <w:numFmt w:val="decimal"/>
      <w:lvlText w:val=""/>
      <w:lvlJc w:val="left"/>
    </w:lvl>
    <w:lvl w:ilvl="8" w:tplc="B1580028">
      <w:start w:val="1"/>
      <w:numFmt w:val="decimal"/>
      <w:lvlText w:val=""/>
      <w:lvlJc w:val="left"/>
    </w:lvl>
  </w:abstractNum>
  <w:abstractNum w:abstractNumId="3" w15:restartNumberingAfterBreak="0">
    <w:nsid w:val="1B7A4CAF"/>
    <w:multiLevelType w:val="multilevel"/>
    <w:tmpl w:val="B5F636E0"/>
    <w:lvl w:ilvl="0">
      <w:start w:val="3"/>
      <w:numFmt w:val="decimal"/>
      <w:lvlText w:val="%1."/>
      <w:lvlJc w:val="left"/>
      <w:pPr>
        <w:ind w:left="675" w:hanging="675"/>
      </w:pPr>
      <w:rPr>
        <w:rFonts w:hint="default"/>
      </w:rPr>
    </w:lvl>
    <w:lvl w:ilvl="1">
      <w:start w:val="6"/>
      <w:numFmt w:val="decimal"/>
      <w:lvlText w:val="%1.%2."/>
      <w:lvlJc w:val="left"/>
      <w:pPr>
        <w:ind w:left="2139" w:hanging="720"/>
      </w:pPr>
      <w:rPr>
        <w:rFonts w:hint="default"/>
      </w:rPr>
    </w:lvl>
    <w:lvl w:ilvl="2">
      <w:start w:val="2"/>
      <w:numFmt w:val="decimal"/>
      <w:lvlText w:val="%1.%2.%3."/>
      <w:lvlJc w:val="left"/>
      <w:pPr>
        <w:ind w:left="3558" w:hanging="720"/>
      </w:pPr>
      <w:rPr>
        <w:rFonts w:hint="default"/>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4" w15:restartNumberingAfterBreak="0">
    <w:nsid w:val="1DB974ED"/>
    <w:multiLevelType w:val="hybridMultilevel"/>
    <w:tmpl w:val="0419001D"/>
    <w:styleLink w:val="1"/>
    <w:lvl w:ilvl="0" w:tplc="F65A69E6">
      <w:start w:val="2"/>
      <w:numFmt w:val="decimal"/>
      <w:pStyle w:val="1"/>
      <w:lvlText w:val="%1)"/>
      <w:lvlJc w:val="left"/>
      <w:pPr>
        <w:ind w:left="360" w:hanging="360"/>
      </w:pPr>
    </w:lvl>
    <w:lvl w:ilvl="1" w:tplc="05201F88">
      <w:start w:val="1"/>
      <w:numFmt w:val="lowerLetter"/>
      <w:lvlText w:val="%2)"/>
      <w:lvlJc w:val="left"/>
      <w:pPr>
        <w:ind w:left="720" w:hanging="360"/>
      </w:pPr>
    </w:lvl>
    <w:lvl w:ilvl="2" w:tplc="23CC9876">
      <w:start w:val="1"/>
      <w:numFmt w:val="lowerRoman"/>
      <w:lvlText w:val="%3)"/>
      <w:lvlJc w:val="left"/>
      <w:pPr>
        <w:ind w:left="1080" w:hanging="360"/>
      </w:pPr>
    </w:lvl>
    <w:lvl w:ilvl="3" w:tplc="826E3224">
      <w:start w:val="1"/>
      <w:numFmt w:val="decimal"/>
      <w:lvlText w:val="(%4)"/>
      <w:lvlJc w:val="left"/>
      <w:pPr>
        <w:ind w:left="1440" w:hanging="360"/>
      </w:pPr>
    </w:lvl>
    <w:lvl w:ilvl="4" w:tplc="1E305B8C">
      <w:start w:val="1"/>
      <w:numFmt w:val="lowerLetter"/>
      <w:lvlText w:val="(%5)"/>
      <w:lvlJc w:val="left"/>
      <w:pPr>
        <w:ind w:left="1800" w:hanging="360"/>
      </w:pPr>
    </w:lvl>
    <w:lvl w:ilvl="5" w:tplc="5F441F6E">
      <w:start w:val="1"/>
      <w:numFmt w:val="lowerRoman"/>
      <w:lvlText w:val="(%6)"/>
      <w:lvlJc w:val="left"/>
      <w:pPr>
        <w:ind w:left="2160" w:hanging="360"/>
      </w:pPr>
    </w:lvl>
    <w:lvl w:ilvl="6" w:tplc="18FCF0C6">
      <w:start w:val="1"/>
      <w:numFmt w:val="decimal"/>
      <w:lvlText w:val="%7."/>
      <w:lvlJc w:val="left"/>
      <w:pPr>
        <w:ind w:left="2520" w:hanging="360"/>
      </w:pPr>
    </w:lvl>
    <w:lvl w:ilvl="7" w:tplc="5A3E7B36">
      <w:start w:val="1"/>
      <w:numFmt w:val="lowerLetter"/>
      <w:lvlText w:val="%8."/>
      <w:lvlJc w:val="left"/>
      <w:pPr>
        <w:ind w:left="2880" w:hanging="360"/>
      </w:pPr>
    </w:lvl>
    <w:lvl w:ilvl="8" w:tplc="5B24E4F6">
      <w:start w:val="1"/>
      <w:numFmt w:val="lowerRoman"/>
      <w:lvlText w:val="%9."/>
      <w:lvlJc w:val="left"/>
      <w:pPr>
        <w:ind w:left="3240" w:hanging="360"/>
      </w:pPr>
    </w:lvl>
  </w:abstractNum>
  <w:abstractNum w:abstractNumId="5" w15:restartNumberingAfterBreak="0">
    <w:nsid w:val="2D3D2E35"/>
    <w:multiLevelType w:val="hybridMultilevel"/>
    <w:tmpl w:val="BF5A5F94"/>
    <w:lvl w:ilvl="0" w:tplc="128AADF4">
      <w:start w:val="1"/>
      <w:numFmt w:val="decimal"/>
      <w:lvlText w:val="7.%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EBBC092C">
      <w:start w:val="1"/>
      <w:numFmt w:val="decimal"/>
      <w:lvlText w:val=""/>
      <w:lvlJc w:val="left"/>
    </w:lvl>
    <w:lvl w:ilvl="2" w:tplc="1C0C6396">
      <w:start w:val="1"/>
      <w:numFmt w:val="decimal"/>
      <w:lvlText w:val=""/>
      <w:lvlJc w:val="left"/>
    </w:lvl>
    <w:lvl w:ilvl="3" w:tplc="03BCBE34">
      <w:start w:val="1"/>
      <w:numFmt w:val="decimal"/>
      <w:lvlText w:val=""/>
      <w:lvlJc w:val="left"/>
    </w:lvl>
    <w:lvl w:ilvl="4" w:tplc="4E0CA8E8">
      <w:start w:val="1"/>
      <w:numFmt w:val="decimal"/>
      <w:lvlText w:val=""/>
      <w:lvlJc w:val="left"/>
    </w:lvl>
    <w:lvl w:ilvl="5" w:tplc="4C76B0BA">
      <w:start w:val="1"/>
      <w:numFmt w:val="decimal"/>
      <w:lvlText w:val=""/>
      <w:lvlJc w:val="left"/>
    </w:lvl>
    <w:lvl w:ilvl="6" w:tplc="7ABAB21A">
      <w:start w:val="1"/>
      <w:numFmt w:val="decimal"/>
      <w:lvlText w:val=""/>
      <w:lvlJc w:val="left"/>
    </w:lvl>
    <w:lvl w:ilvl="7" w:tplc="1066587C">
      <w:start w:val="1"/>
      <w:numFmt w:val="decimal"/>
      <w:lvlText w:val=""/>
      <w:lvlJc w:val="left"/>
    </w:lvl>
    <w:lvl w:ilvl="8" w:tplc="1128897E">
      <w:start w:val="1"/>
      <w:numFmt w:val="decimal"/>
      <w:lvlText w:val=""/>
      <w:lvlJc w:val="left"/>
    </w:lvl>
  </w:abstractNum>
  <w:abstractNum w:abstractNumId="6" w15:restartNumberingAfterBreak="0">
    <w:nsid w:val="30CF2F87"/>
    <w:multiLevelType w:val="multilevel"/>
    <w:tmpl w:val="7FB22CF8"/>
    <w:lvl w:ilvl="0">
      <w:start w:val="3"/>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15:restartNumberingAfterBreak="0">
    <w:nsid w:val="34EF0616"/>
    <w:multiLevelType w:val="hybridMultilevel"/>
    <w:tmpl w:val="5AEC9E26"/>
    <w:lvl w:ilvl="0" w:tplc="9ECC72A6">
      <w:start w:val="1"/>
      <w:numFmt w:val="decimal"/>
      <w:lvlText w:val="1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634C566">
      <w:start w:val="1"/>
      <w:numFmt w:val="decimal"/>
      <w:lvlText w:val=""/>
      <w:lvlJc w:val="left"/>
    </w:lvl>
    <w:lvl w:ilvl="2" w:tplc="93406C42">
      <w:start w:val="1"/>
      <w:numFmt w:val="decimal"/>
      <w:lvlText w:val=""/>
      <w:lvlJc w:val="left"/>
    </w:lvl>
    <w:lvl w:ilvl="3" w:tplc="A4FE5646">
      <w:start w:val="1"/>
      <w:numFmt w:val="decimal"/>
      <w:lvlText w:val=""/>
      <w:lvlJc w:val="left"/>
    </w:lvl>
    <w:lvl w:ilvl="4" w:tplc="4B7079AC">
      <w:start w:val="1"/>
      <w:numFmt w:val="decimal"/>
      <w:lvlText w:val=""/>
      <w:lvlJc w:val="left"/>
    </w:lvl>
    <w:lvl w:ilvl="5" w:tplc="359ACA9E">
      <w:start w:val="1"/>
      <w:numFmt w:val="decimal"/>
      <w:lvlText w:val=""/>
      <w:lvlJc w:val="left"/>
    </w:lvl>
    <w:lvl w:ilvl="6" w:tplc="824C25E4">
      <w:start w:val="1"/>
      <w:numFmt w:val="decimal"/>
      <w:lvlText w:val=""/>
      <w:lvlJc w:val="left"/>
    </w:lvl>
    <w:lvl w:ilvl="7" w:tplc="1A520446">
      <w:start w:val="1"/>
      <w:numFmt w:val="decimal"/>
      <w:lvlText w:val=""/>
      <w:lvlJc w:val="left"/>
    </w:lvl>
    <w:lvl w:ilvl="8" w:tplc="61322E88">
      <w:start w:val="1"/>
      <w:numFmt w:val="decimal"/>
      <w:lvlText w:val=""/>
      <w:lvlJc w:val="left"/>
    </w:lvl>
  </w:abstractNum>
  <w:abstractNum w:abstractNumId="8" w15:restartNumberingAfterBreak="0">
    <w:nsid w:val="35315612"/>
    <w:multiLevelType w:val="multilevel"/>
    <w:tmpl w:val="85AA74BA"/>
    <w:lvl w:ilvl="0">
      <w:start w:val="3"/>
      <w:numFmt w:val="decimal"/>
      <w:lvlText w:val="%1."/>
      <w:lvlJc w:val="left"/>
      <w:pPr>
        <w:ind w:left="450" w:hanging="450"/>
      </w:pPr>
      <w:rPr>
        <w:rFonts w:hint="default"/>
      </w:rPr>
    </w:lvl>
    <w:lvl w:ilvl="1">
      <w:start w:val="7"/>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9" w15:restartNumberingAfterBreak="0">
    <w:nsid w:val="36BE6470"/>
    <w:multiLevelType w:val="multilevel"/>
    <w:tmpl w:val="A6D85920"/>
    <w:lvl w:ilvl="0">
      <w:start w:val="1"/>
      <w:numFmt w:val="decimal"/>
      <w:pStyle w:val="1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B542BD"/>
    <w:multiLevelType w:val="hybridMultilevel"/>
    <w:tmpl w:val="3E547D26"/>
    <w:lvl w:ilvl="0" w:tplc="84CE55CA">
      <w:start w:val="1"/>
      <w:numFmt w:val="bullet"/>
      <w:pStyle w:val="a"/>
      <w:lvlText w:val="-"/>
      <w:lvlJc w:val="left"/>
      <w:pPr>
        <w:ind w:left="2149" w:hanging="360"/>
      </w:pPr>
      <w:rPr>
        <w:rFonts w:ascii="Times New Roman" w:hAnsi="Times New Roman" w:cs="Times New Roman" w:hint="default"/>
      </w:rPr>
    </w:lvl>
    <w:lvl w:ilvl="1" w:tplc="B0A63E4C">
      <w:start w:val="1"/>
      <w:numFmt w:val="bullet"/>
      <w:lvlText w:val="o"/>
      <w:lvlJc w:val="left"/>
      <w:pPr>
        <w:ind w:left="2869" w:hanging="360"/>
      </w:pPr>
      <w:rPr>
        <w:rFonts w:ascii="Courier New" w:hAnsi="Courier New" w:cs="Courier New" w:hint="default"/>
      </w:rPr>
    </w:lvl>
    <w:lvl w:ilvl="2" w:tplc="69345144">
      <w:start w:val="1"/>
      <w:numFmt w:val="bullet"/>
      <w:lvlText w:val=""/>
      <w:lvlJc w:val="left"/>
      <w:pPr>
        <w:ind w:left="3589" w:hanging="360"/>
      </w:pPr>
      <w:rPr>
        <w:rFonts w:ascii="Wingdings" w:hAnsi="Wingdings" w:cs="Wingdings" w:hint="default"/>
      </w:rPr>
    </w:lvl>
    <w:lvl w:ilvl="3" w:tplc="099E3ADA">
      <w:start w:val="1"/>
      <w:numFmt w:val="bullet"/>
      <w:lvlText w:val=""/>
      <w:lvlJc w:val="left"/>
      <w:pPr>
        <w:ind w:left="4309" w:hanging="360"/>
      </w:pPr>
      <w:rPr>
        <w:rFonts w:ascii="Symbol" w:hAnsi="Symbol" w:cs="Symbol" w:hint="default"/>
      </w:rPr>
    </w:lvl>
    <w:lvl w:ilvl="4" w:tplc="303A9106">
      <w:start w:val="1"/>
      <w:numFmt w:val="bullet"/>
      <w:lvlText w:val="o"/>
      <w:lvlJc w:val="left"/>
      <w:pPr>
        <w:ind w:left="5029" w:hanging="360"/>
      </w:pPr>
      <w:rPr>
        <w:rFonts w:ascii="Courier New" w:hAnsi="Courier New" w:cs="Courier New" w:hint="default"/>
      </w:rPr>
    </w:lvl>
    <w:lvl w:ilvl="5" w:tplc="2B0271EC">
      <w:start w:val="1"/>
      <w:numFmt w:val="bullet"/>
      <w:lvlText w:val=""/>
      <w:lvlJc w:val="left"/>
      <w:pPr>
        <w:ind w:left="5749" w:hanging="360"/>
      </w:pPr>
      <w:rPr>
        <w:rFonts w:ascii="Wingdings" w:hAnsi="Wingdings" w:cs="Wingdings" w:hint="default"/>
      </w:rPr>
    </w:lvl>
    <w:lvl w:ilvl="6" w:tplc="F41EB5DA">
      <w:start w:val="1"/>
      <w:numFmt w:val="bullet"/>
      <w:lvlText w:val=""/>
      <w:lvlJc w:val="left"/>
      <w:pPr>
        <w:ind w:left="6469" w:hanging="360"/>
      </w:pPr>
      <w:rPr>
        <w:rFonts w:ascii="Symbol" w:hAnsi="Symbol" w:cs="Symbol" w:hint="default"/>
      </w:rPr>
    </w:lvl>
    <w:lvl w:ilvl="7" w:tplc="E86896D2">
      <w:start w:val="1"/>
      <w:numFmt w:val="bullet"/>
      <w:lvlText w:val="o"/>
      <w:lvlJc w:val="left"/>
      <w:pPr>
        <w:ind w:left="7189" w:hanging="360"/>
      </w:pPr>
      <w:rPr>
        <w:rFonts w:ascii="Courier New" w:hAnsi="Courier New" w:cs="Courier New" w:hint="default"/>
      </w:rPr>
    </w:lvl>
    <w:lvl w:ilvl="8" w:tplc="A6020FD2">
      <w:start w:val="1"/>
      <w:numFmt w:val="bullet"/>
      <w:lvlText w:val=""/>
      <w:lvlJc w:val="left"/>
      <w:pPr>
        <w:ind w:left="7909" w:hanging="360"/>
      </w:pPr>
      <w:rPr>
        <w:rFonts w:ascii="Wingdings" w:hAnsi="Wingdings" w:cs="Wingdings" w:hint="default"/>
      </w:rPr>
    </w:lvl>
  </w:abstractNum>
  <w:abstractNum w:abstractNumId="11" w15:restartNumberingAfterBreak="0">
    <w:nsid w:val="43A00AC0"/>
    <w:multiLevelType w:val="multilevel"/>
    <w:tmpl w:val="879E343E"/>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15:restartNumberingAfterBreak="0">
    <w:nsid w:val="4628406C"/>
    <w:multiLevelType w:val="multilevel"/>
    <w:tmpl w:val="78F85D7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4E9324CA"/>
    <w:multiLevelType w:val="hybridMultilevel"/>
    <w:tmpl w:val="14BCEF98"/>
    <w:lvl w:ilvl="0" w:tplc="1D3CC8FA">
      <w:start w:val="1"/>
      <w:numFmt w:val="decimal"/>
      <w:lvlText w:val="6.%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E7C4ABE">
      <w:start w:val="1"/>
      <w:numFmt w:val="decimal"/>
      <w:lvlText w:val=""/>
      <w:lvlJc w:val="left"/>
    </w:lvl>
    <w:lvl w:ilvl="2" w:tplc="B92A1CDE">
      <w:start w:val="1"/>
      <w:numFmt w:val="decimal"/>
      <w:lvlText w:val=""/>
      <w:lvlJc w:val="left"/>
    </w:lvl>
    <w:lvl w:ilvl="3" w:tplc="DCE4DBA4">
      <w:start w:val="1"/>
      <w:numFmt w:val="decimal"/>
      <w:lvlText w:val=""/>
      <w:lvlJc w:val="left"/>
    </w:lvl>
    <w:lvl w:ilvl="4" w:tplc="AF5CD814">
      <w:start w:val="1"/>
      <w:numFmt w:val="decimal"/>
      <w:lvlText w:val=""/>
      <w:lvlJc w:val="left"/>
    </w:lvl>
    <w:lvl w:ilvl="5" w:tplc="2A72A1AC">
      <w:start w:val="1"/>
      <w:numFmt w:val="decimal"/>
      <w:lvlText w:val=""/>
      <w:lvlJc w:val="left"/>
    </w:lvl>
    <w:lvl w:ilvl="6" w:tplc="F4528662">
      <w:start w:val="1"/>
      <w:numFmt w:val="decimal"/>
      <w:lvlText w:val=""/>
      <w:lvlJc w:val="left"/>
    </w:lvl>
    <w:lvl w:ilvl="7" w:tplc="EAD45F54">
      <w:start w:val="1"/>
      <w:numFmt w:val="decimal"/>
      <w:lvlText w:val=""/>
      <w:lvlJc w:val="left"/>
    </w:lvl>
    <w:lvl w:ilvl="8" w:tplc="911C6416">
      <w:start w:val="1"/>
      <w:numFmt w:val="decimal"/>
      <w:lvlText w:val=""/>
      <w:lvlJc w:val="left"/>
    </w:lvl>
  </w:abstractNum>
  <w:abstractNum w:abstractNumId="14" w15:restartNumberingAfterBreak="0">
    <w:nsid w:val="50953586"/>
    <w:multiLevelType w:val="hybridMultilevel"/>
    <w:tmpl w:val="3B36D380"/>
    <w:lvl w:ilvl="0" w:tplc="6AD02DFA">
      <w:start w:val="1"/>
      <w:numFmt w:val="bullet"/>
      <w:lvlText w:val="–"/>
      <w:lvlJc w:val="left"/>
      <w:pPr>
        <w:ind w:left="1559" w:hanging="360"/>
      </w:pPr>
      <w:rPr>
        <w:rFonts w:ascii="Arial" w:eastAsia="Arial" w:hAnsi="Arial" w:cs="Arial" w:hint="default"/>
      </w:rPr>
    </w:lvl>
    <w:lvl w:ilvl="1" w:tplc="21A2A5D4">
      <w:start w:val="1"/>
      <w:numFmt w:val="bullet"/>
      <w:lvlText w:val="o"/>
      <w:lvlJc w:val="left"/>
      <w:pPr>
        <w:ind w:left="2279" w:hanging="360"/>
      </w:pPr>
      <w:rPr>
        <w:rFonts w:ascii="Courier New" w:eastAsia="Courier New" w:hAnsi="Courier New" w:cs="Courier New" w:hint="default"/>
      </w:rPr>
    </w:lvl>
    <w:lvl w:ilvl="2" w:tplc="572A6A3A">
      <w:start w:val="1"/>
      <w:numFmt w:val="bullet"/>
      <w:lvlText w:val="§"/>
      <w:lvlJc w:val="left"/>
      <w:pPr>
        <w:ind w:left="2999" w:hanging="360"/>
      </w:pPr>
      <w:rPr>
        <w:rFonts w:ascii="Wingdings" w:eastAsia="Wingdings" w:hAnsi="Wingdings" w:cs="Wingdings" w:hint="default"/>
      </w:rPr>
    </w:lvl>
    <w:lvl w:ilvl="3" w:tplc="AE16F6C8">
      <w:start w:val="1"/>
      <w:numFmt w:val="bullet"/>
      <w:lvlText w:val="·"/>
      <w:lvlJc w:val="left"/>
      <w:pPr>
        <w:ind w:left="3719" w:hanging="360"/>
      </w:pPr>
      <w:rPr>
        <w:rFonts w:ascii="Symbol" w:eastAsia="Symbol" w:hAnsi="Symbol" w:cs="Symbol" w:hint="default"/>
      </w:rPr>
    </w:lvl>
    <w:lvl w:ilvl="4" w:tplc="056C83F8">
      <w:start w:val="1"/>
      <w:numFmt w:val="bullet"/>
      <w:lvlText w:val="o"/>
      <w:lvlJc w:val="left"/>
      <w:pPr>
        <w:ind w:left="4439" w:hanging="360"/>
      </w:pPr>
      <w:rPr>
        <w:rFonts w:ascii="Courier New" w:eastAsia="Courier New" w:hAnsi="Courier New" w:cs="Courier New" w:hint="default"/>
      </w:rPr>
    </w:lvl>
    <w:lvl w:ilvl="5" w:tplc="437A09B2">
      <w:start w:val="1"/>
      <w:numFmt w:val="bullet"/>
      <w:lvlText w:val="§"/>
      <w:lvlJc w:val="left"/>
      <w:pPr>
        <w:ind w:left="5159" w:hanging="360"/>
      </w:pPr>
      <w:rPr>
        <w:rFonts w:ascii="Wingdings" w:eastAsia="Wingdings" w:hAnsi="Wingdings" w:cs="Wingdings" w:hint="default"/>
      </w:rPr>
    </w:lvl>
    <w:lvl w:ilvl="6" w:tplc="50B213F0">
      <w:start w:val="1"/>
      <w:numFmt w:val="bullet"/>
      <w:lvlText w:val="·"/>
      <w:lvlJc w:val="left"/>
      <w:pPr>
        <w:ind w:left="5879" w:hanging="360"/>
      </w:pPr>
      <w:rPr>
        <w:rFonts w:ascii="Symbol" w:eastAsia="Symbol" w:hAnsi="Symbol" w:cs="Symbol" w:hint="default"/>
      </w:rPr>
    </w:lvl>
    <w:lvl w:ilvl="7" w:tplc="57943094">
      <w:start w:val="1"/>
      <w:numFmt w:val="bullet"/>
      <w:lvlText w:val="o"/>
      <w:lvlJc w:val="left"/>
      <w:pPr>
        <w:ind w:left="6599" w:hanging="360"/>
      </w:pPr>
      <w:rPr>
        <w:rFonts w:ascii="Courier New" w:eastAsia="Courier New" w:hAnsi="Courier New" w:cs="Courier New" w:hint="default"/>
      </w:rPr>
    </w:lvl>
    <w:lvl w:ilvl="8" w:tplc="0D2A6F58">
      <w:start w:val="1"/>
      <w:numFmt w:val="bullet"/>
      <w:lvlText w:val="§"/>
      <w:lvlJc w:val="left"/>
      <w:pPr>
        <w:ind w:left="7319" w:hanging="360"/>
      </w:pPr>
      <w:rPr>
        <w:rFonts w:ascii="Wingdings" w:eastAsia="Wingdings" w:hAnsi="Wingdings" w:cs="Wingdings" w:hint="default"/>
      </w:rPr>
    </w:lvl>
  </w:abstractNum>
  <w:abstractNum w:abstractNumId="15" w15:restartNumberingAfterBreak="0">
    <w:nsid w:val="7C2203A7"/>
    <w:multiLevelType w:val="multilevel"/>
    <w:tmpl w:val="B51A276C"/>
    <w:lvl w:ilvl="0">
      <w:start w:val="3"/>
      <w:numFmt w:val="decimal"/>
      <w:lvlText w:val="%1"/>
      <w:lvlJc w:val="left"/>
      <w:pPr>
        <w:ind w:left="600" w:hanging="600"/>
      </w:pPr>
      <w:rPr>
        <w:rFonts w:hint="default"/>
      </w:rPr>
    </w:lvl>
    <w:lvl w:ilvl="1">
      <w:start w:val="7"/>
      <w:numFmt w:val="decimal"/>
      <w:lvlText w:val="%1.%2"/>
      <w:lvlJc w:val="left"/>
      <w:pPr>
        <w:ind w:left="1025" w:hanging="60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num w:numId="1">
    <w:abstractNumId w:val="9"/>
  </w:num>
  <w:num w:numId="2">
    <w:abstractNumId w:val="10"/>
  </w:num>
  <w:num w:numId="3">
    <w:abstractNumId w:val="4"/>
  </w:num>
  <w:num w:numId="4">
    <w:abstractNumId w:val="12"/>
  </w:num>
  <w:num w:numId="5">
    <w:abstractNumId w:val="0"/>
  </w:num>
  <w:num w:numId="6">
    <w:abstractNumId w:val="6"/>
  </w:num>
  <w:num w:numId="7">
    <w:abstractNumId w:val="1"/>
  </w:num>
  <w:num w:numId="8">
    <w:abstractNumId w:val="2"/>
  </w:num>
  <w:num w:numId="9">
    <w:abstractNumId w:val="7"/>
  </w:num>
  <w:num w:numId="10">
    <w:abstractNumId w:val="8"/>
  </w:num>
  <w:num w:numId="11">
    <w:abstractNumId w:val="15"/>
  </w:num>
  <w:num w:numId="12">
    <w:abstractNumId w:val="3"/>
  </w:num>
  <w:num w:numId="13">
    <w:abstractNumId w:val="10"/>
  </w:num>
  <w:num w:numId="14">
    <w:abstractNumId w:val="11"/>
  </w:num>
  <w:num w:numId="15">
    <w:abstractNumId w:val="5"/>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E7A"/>
    <w:rsid w:val="00065AAD"/>
    <w:rsid w:val="002839A6"/>
    <w:rsid w:val="00511B7F"/>
    <w:rsid w:val="009716F2"/>
    <w:rsid w:val="00A36422"/>
    <w:rsid w:val="00CA5E7A"/>
    <w:rsid w:val="00D02FE1"/>
    <w:rsid w:val="00F23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DFA54A-651C-403E-BCEE-B94AA3CB5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ind w:firstLine="709"/>
    </w:pPr>
    <w:rPr>
      <w:sz w:val="24"/>
      <w:szCs w:val="24"/>
      <w:lang w:eastAsia="en-US"/>
    </w:rPr>
  </w:style>
  <w:style w:type="paragraph" w:styleId="10">
    <w:name w:val="heading 1"/>
    <w:basedOn w:val="a0"/>
    <w:next w:val="a0"/>
    <w:link w:val="11"/>
    <w:uiPriority w:val="99"/>
    <w:qFormat/>
    <w:pPr>
      <w:keepNext/>
      <w:numPr>
        <w:numId w:val="1"/>
      </w:numPr>
      <w:tabs>
        <w:tab w:val="left" w:pos="993"/>
      </w:tabs>
      <w:spacing w:before="60" w:after="60" w:line="360" w:lineRule="auto"/>
      <w:jc w:val="center"/>
      <w:outlineLvl w:val="0"/>
    </w:pPr>
    <w:rPr>
      <w:b/>
      <w:bCs/>
      <w:sz w:val="28"/>
      <w:szCs w:val="28"/>
    </w:rPr>
  </w:style>
  <w:style w:type="paragraph" w:styleId="2">
    <w:name w:val="heading 2"/>
    <w:basedOn w:val="10"/>
    <w:next w:val="a0"/>
    <w:link w:val="20"/>
    <w:uiPriority w:val="99"/>
    <w:qFormat/>
    <w:pPr>
      <w:numPr>
        <w:numId w:val="0"/>
      </w:numPr>
      <w:tabs>
        <w:tab w:val="clear" w:pos="993"/>
        <w:tab w:val="left" w:pos="1219"/>
      </w:tabs>
      <w:spacing w:before="240" w:after="120" w:line="240" w:lineRule="auto"/>
      <w:jc w:val="left"/>
      <w:outlineLvl w:val="1"/>
    </w:pPr>
  </w:style>
  <w:style w:type="paragraph" w:styleId="3">
    <w:name w:val="heading 3"/>
    <w:basedOn w:val="a0"/>
    <w:next w:val="a0"/>
    <w:link w:val="30"/>
    <w:uiPriority w:val="99"/>
    <w:qFormat/>
    <w:pPr>
      <w:keepNext/>
      <w:spacing w:before="120" w:after="60"/>
      <w:ind w:firstLine="0"/>
      <w:outlineLvl w:val="2"/>
    </w:pPr>
    <w:rPr>
      <w:b/>
      <w:bCs/>
      <w:sz w:val="28"/>
      <w:szCs w:val="28"/>
    </w:rPr>
  </w:style>
  <w:style w:type="paragraph" w:styleId="4">
    <w:name w:val="heading 4"/>
    <w:basedOn w:val="a0"/>
    <w:next w:val="a0"/>
    <w:link w:val="40"/>
    <w:uiPriority w:val="99"/>
    <w:qFormat/>
    <w:pPr>
      <w:keepNext/>
      <w:spacing w:before="240" w:after="60"/>
      <w:outlineLvl w:val="3"/>
    </w:pPr>
    <w:rPr>
      <w:b/>
      <w:bCs/>
      <w:sz w:val="28"/>
      <w:szCs w:val="28"/>
    </w:rPr>
  </w:style>
  <w:style w:type="paragraph" w:styleId="5">
    <w:name w:val="heading 5"/>
    <w:basedOn w:val="a0"/>
    <w:next w:val="a0"/>
    <w:link w:val="50"/>
    <w:uiPriority w:val="99"/>
    <w:qFormat/>
    <w:pPr>
      <w:spacing w:before="240" w:after="60"/>
      <w:outlineLvl w:val="4"/>
    </w:pPr>
    <w:rPr>
      <w:b/>
      <w:bCs/>
      <w:i/>
      <w:iCs/>
      <w:sz w:val="26"/>
      <w:szCs w:val="26"/>
    </w:rPr>
  </w:style>
  <w:style w:type="paragraph" w:styleId="6">
    <w:name w:val="heading 6"/>
    <w:basedOn w:val="a0"/>
    <w:next w:val="a0"/>
    <w:link w:val="60"/>
    <w:uiPriority w:val="99"/>
    <w:qFormat/>
    <w:pPr>
      <w:spacing w:before="240" w:after="60"/>
      <w:outlineLvl w:val="5"/>
    </w:pPr>
    <w:rPr>
      <w:b/>
      <w:bCs/>
      <w:sz w:val="22"/>
      <w:szCs w:val="22"/>
    </w:rPr>
  </w:style>
  <w:style w:type="paragraph" w:styleId="7">
    <w:name w:val="heading 7"/>
    <w:basedOn w:val="a0"/>
    <w:next w:val="a0"/>
    <w:link w:val="70"/>
    <w:uiPriority w:val="99"/>
    <w:qFormat/>
    <w:pPr>
      <w:spacing w:before="240" w:after="60"/>
      <w:outlineLvl w:val="6"/>
    </w:pPr>
  </w:style>
  <w:style w:type="paragraph" w:styleId="8">
    <w:name w:val="heading 8"/>
    <w:basedOn w:val="a0"/>
    <w:next w:val="a0"/>
    <w:link w:val="80"/>
    <w:uiPriority w:val="99"/>
    <w:qFormat/>
    <w:pPr>
      <w:spacing w:before="240" w:after="60"/>
      <w:outlineLvl w:val="7"/>
    </w:pPr>
    <w:rPr>
      <w:i/>
      <w:iCs/>
    </w:rPr>
  </w:style>
  <w:style w:type="paragraph" w:styleId="9">
    <w:name w:val="heading 9"/>
    <w:basedOn w:val="a0"/>
    <w:next w:val="a0"/>
    <w:link w:val="90"/>
    <w:uiPriority w:val="99"/>
    <w:qFormat/>
    <w:pPr>
      <w:spacing w:before="240" w:after="60"/>
      <w:outlineLvl w:val="8"/>
    </w:pPr>
    <w:rPr>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4">
    <w:name w:val="endnote text"/>
    <w:basedOn w:val="a0"/>
    <w:link w:val="a5"/>
    <w:uiPriority w:val="99"/>
    <w:semiHidden/>
    <w:unhideWhenUsed/>
    <w:rPr>
      <w:sz w:val="20"/>
    </w:rPr>
  </w:style>
  <w:style w:type="character" w:customStyle="1" w:styleId="a5">
    <w:name w:val="Текст концевой сноски Знак"/>
    <w:link w:val="a4"/>
    <w:uiPriority w:val="99"/>
    <w:rPr>
      <w:sz w:val="20"/>
    </w:rPr>
  </w:style>
  <w:style w:type="character" w:styleId="a6">
    <w:name w:val="endnote reference"/>
    <w:basedOn w:val="a1"/>
    <w:uiPriority w:val="99"/>
    <w:semiHidden/>
    <w:unhideWhenUsed/>
    <w:rPr>
      <w:vertAlign w:val="superscript"/>
    </w:rPr>
  </w:style>
  <w:style w:type="paragraph" w:styleId="a7">
    <w:name w:val="table of figures"/>
    <w:basedOn w:val="a0"/>
    <w:next w:val="a0"/>
    <w:uiPriority w:val="99"/>
    <w:unhideWhenUsed/>
  </w:style>
  <w:style w:type="character" w:customStyle="1" w:styleId="11">
    <w:name w:val="Заголовок 1 Знак"/>
    <w:basedOn w:val="a1"/>
    <w:link w:val="10"/>
    <w:uiPriority w:val="99"/>
    <w:rPr>
      <w:b/>
      <w:bCs/>
      <w:sz w:val="28"/>
      <w:szCs w:val="28"/>
      <w:lang w:eastAsia="en-US"/>
    </w:rPr>
  </w:style>
  <w:style w:type="character" w:customStyle="1" w:styleId="20">
    <w:name w:val="Заголовок 2 Знак"/>
    <w:basedOn w:val="a1"/>
    <w:link w:val="2"/>
    <w:uiPriority w:val="99"/>
    <w:rPr>
      <w:rFonts w:ascii="Times New Roman" w:hAnsi="Times New Roman" w:cs="Times New Roman"/>
      <w:b/>
      <w:bCs/>
      <w:sz w:val="32"/>
      <w:szCs w:val="32"/>
    </w:rPr>
  </w:style>
  <w:style w:type="character" w:customStyle="1" w:styleId="30">
    <w:name w:val="Заголовок 3 Знак"/>
    <w:basedOn w:val="a1"/>
    <w:link w:val="3"/>
    <w:uiPriority w:val="99"/>
    <w:rPr>
      <w:rFonts w:ascii="Times New Roman" w:hAnsi="Times New Roman" w:cs="Times New Roman"/>
      <w:b/>
      <w:bCs/>
      <w:sz w:val="24"/>
      <w:szCs w:val="24"/>
    </w:rPr>
  </w:style>
  <w:style w:type="character" w:customStyle="1" w:styleId="40">
    <w:name w:val="Заголовок 4 Знак"/>
    <w:basedOn w:val="a1"/>
    <w:link w:val="4"/>
    <w:uiPriority w:val="99"/>
    <w:semiHidden/>
    <w:rPr>
      <w:b/>
      <w:bCs/>
      <w:sz w:val="28"/>
      <w:szCs w:val="28"/>
    </w:rPr>
  </w:style>
  <w:style w:type="character" w:customStyle="1" w:styleId="50">
    <w:name w:val="Заголовок 5 Знак"/>
    <w:basedOn w:val="a1"/>
    <w:link w:val="5"/>
    <w:uiPriority w:val="99"/>
    <w:semiHidden/>
    <w:rPr>
      <w:b/>
      <w:bCs/>
      <w:i/>
      <w:iCs/>
      <w:sz w:val="26"/>
      <w:szCs w:val="26"/>
    </w:rPr>
  </w:style>
  <w:style w:type="character" w:customStyle="1" w:styleId="60">
    <w:name w:val="Заголовок 6 Знак"/>
    <w:basedOn w:val="a1"/>
    <w:link w:val="6"/>
    <w:uiPriority w:val="99"/>
    <w:semiHidden/>
    <w:rPr>
      <w:b/>
      <w:bCs/>
    </w:rPr>
  </w:style>
  <w:style w:type="character" w:customStyle="1" w:styleId="70">
    <w:name w:val="Заголовок 7 Знак"/>
    <w:basedOn w:val="a1"/>
    <w:link w:val="7"/>
    <w:uiPriority w:val="99"/>
    <w:semiHidden/>
    <w:rPr>
      <w:sz w:val="24"/>
      <w:szCs w:val="24"/>
    </w:rPr>
  </w:style>
  <w:style w:type="character" w:customStyle="1" w:styleId="80">
    <w:name w:val="Заголовок 8 Знак"/>
    <w:basedOn w:val="a1"/>
    <w:link w:val="8"/>
    <w:uiPriority w:val="99"/>
    <w:semiHidden/>
    <w:rPr>
      <w:i/>
      <w:iCs/>
      <w:sz w:val="24"/>
      <w:szCs w:val="24"/>
    </w:rPr>
  </w:style>
  <w:style w:type="character" w:customStyle="1" w:styleId="90">
    <w:name w:val="Заголовок 9 Знак"/>
    <w:basedOn w:val="a1"/>
    <w:link w:val="9"/>
    <w:uiPriority w:val="99"/>
    <w:semiHidden/>
    <w:rPr>
      <w:rFonts w:ascii="Times New Roman" w:hAnsi="Times New Roman" w:cs="Times New Roman"/>
    </w:rPr>
  </w:style>
  <w:style w:type="paragraph" w:styleId="a8">
    <w:name w:val="Title"/>
    <w:basedOn w:val="a0"/>
    <w:next w:val="a0"/>
    <w:link w:val="a9"/>
    <w:uiPriority w:val="99"/>
    <w:qFormat/>
    <w:pPr>
      <w:spacing w:before="240" w:after="60"/>
      <w:jc w:val="center"/>
      <w:outlineLvl w:val="0"/>
    </w:pPr>
    <w:rPr>
      <w:b/>
      <w:bCs/>
      <w:sz w:val="32"/>
      <w:szCs w:val="32"/>
    </w:rPr>
  </w:style>
  <w:style w:type="character" w:customStyle="1" w:styleId="a9">
    <w:name w:val="Название Знак"/>
    <w:basedOn w:val="a1"/>
    <w:link w:val="a8"/>
    <w:uiPriority w:val="99"/>
    <w:rPr>
      <w:rFonts w:ascii="Times New Roman" w:hAnsi="Times New Roman" w:cs="Times New Roman"/>
      <w:b/>
      <w:bCs/>
      <w:sz w:val="32"/>
      <w:szCs w:val="32"/>
    </w:rPr>
  </w:style>
  <w:style w:type="paragraph" w:styleId="aa">
    <w:name w:val="caption"/>
    <w:basedOn w:val="a0"/>
    <w:next w:val="a0"/>
    <w:uiPriority w:val="99"/>
    <w:qFormat/>
    <w:rPr>
      <w:caps/>
      <w:spacing w:val="10"/>
      <w:sz w:val="18"/>
      <w:szCs w:val="18"/>
    </w:rPr>
  </w:style>
  <w:style w:type="paragraph" w:styleId="ab">
    <w:name w:val="Subtitle"/>
    <w:basedOn w:val="a0"/>
    <w:next w:val="a0"/>
    <w:link w:val="ac"/>
    <w:uiPriority w:val="99"/>
    <w:qFormat/>
    <w:pPr>
      <w:spacing w:after="60"/>
      <w:jc w:val="center"/>
      <w:outlineLvl w:val="1"/>
    </w:pPr>
  </w:style>
  <w:style w:type="character" w:customStyle="1" w:styleId="ac">
    <w:name w:val="Подзаголовок Знак"/>
    <w:basedOn w:val="a1"/>
    <w:link w:val="ab"/>
    <w:uiPriority w:val="99"/>
    <w:rPr>
      <w:rFonts w:ascii="Times New Roman" w:hAnsi="Times New Roman" w:cs="Times New Roman"/>
      <w:sz w:val="24"/>
      <w:szCs w:val="24"/>
    </w:rPr>
  </w:style>
  <w:style w:type="character" w:styleId="ad">
    <w:name w:val="Strong"/>
    <w:basedOn w:val="a1"/>
    <w:uiPriority w:val="99"/>
    <w:qFormat/>
    <w:rPr>
      <w:b/>
      <w:bCs/>
    </w:rPr>
  </w:style>
  <w:style w:type="character" w:styleId="ae">
    <w:name w:val="Emphasis"/>
    <w:basedOn w:val="a1"/>
    <w:uiPriority w:val="99"/>
    <w:qFormat/>
    <w:rPr>
      <w:rFonts w:ascii="Times New Roman" w:hAnsi="Times New Roman" w:cs="Times New Roman"/>
      <w:b/>
      <w:bCs/>
      <w:i/>
      <w:iCs/>
    </w:rPr>
  </w:style>
  <w:style w:type="paragraph" w:styleId="af">
    <w:name w:val="No Spacing"/>
    <w:basedOn w:val="a0"/>
    <w:link w:val="af0"/>
    <w:uiPriority w:val="99"/>
    <w:qFormat/>
  </w:style>
  <w:style w:type="character" w:customStyle="1" w:styleId="af0">
    <w:name w:val="Без интервала Знак"/>
    <w:basedOn w:val="a1"/>
    <w:link w:val="af"/>
    <w:uiPriority w:val="99"/>
    <w:rPr>
      <w:sz w:val="32"/>
      <w:szCs w:val="32"/>
    </w:rPr>
  </w:style>
  <w:style w:type="paragraph" w:styleId="a">
    <w:name w:val="List Paragraph"/>
    <w:basedOn w:val="a0"/>
    <w:uiPriority w:val="99"/>
    <w:qFormat/>
    <w:pPr>
      <w:numPr>
        <w:numId w:val="2"/>
      </w:numPr>
      <w:tabs>
        <w:tab w:val="left" w:pos="992"/>
      </w:tabs>
      <w:jc w:val="both"/>
    </w:pPr>
    <w:rPr>
      <w:sz w:val="28"/>
      <w:szCs w:val="28"/>
    </w:rPr>
  </w:style>
  <w:style w:type="paragraph" w:styleId="22">
    <w:name w:val="Quote"/>
    <w:basedOn w:val="a0"/>
    <w:next w:val="a0"/>
    <w:link w:val="23"/>
    <w:uiPriority w:val="99"/>
    <w:qFormat/>
    <w:rPr>
      <w:i/>
      <w:iCs/>
    </w:rPr>
  </w:style>
  <w:style w:type="character" w:customStyle="1" w:styleId="23">
    <w:name w:val="Цитата 2 Знак"/>
    <w:basedOn w:val="a1"/>
    <w:link w:val="22"/>
    <w:uiPriority w:val="99"/>
    <w:rPr>
      <w:i/>
      <w:iCs/>
      <w:sz w:val="24"/>
      <w:szCs w:val="24"/>
    </w:rPr>
  </w:style>
  <w:style w:type="paragraph" w:styleId="af1">
    <w:name w:val="Intense Quote"/>
    <w:basedOn w:val="a0"/>
    <w:next w:val="a0"/>
    <w:link w:val="af2"/>
    <w:uiPriority w:val="99"/>
    <w:qFormat/>
    <w:pPr>
      <w:ind w:left="720" w:right="720"/>
    </w:pPr>
    <w:rPr>
      <w:b/>
      <w:bCs/>
      <w:i/>
      <w:iCs/>
    </w:rPr>
  </w:style>
  <w:style w:type="character" w:customStyle="1" w:styleId="af2">
    <w:name w:val="Выделенная цитата Знак"/>
    <w:basedOn w:val="a1"/>
    <w:link w:val="af1"/>
    <w:uiPriority w:val="99"/>
    <w:rPr>
      <w:b/>
      <w:bCs/>
      <w:i/>
      <w:iCs/>
      <w:sz w:val="24"/>
      <w:szCs w:val="24"/>
    </w:rPr>
  </w:style>
  <w:style w:type="character" w:styleId="af3">
    <w:name w:val="Subtle Emphasis"/>
    <w:basedOn w:val="a1"/>
    <w:uiPriority w:val="99"/>
    <w:qFormat/>
    <w:rPr>
      <w:i/>
      <w:iCs/>
      <w:color w:val="auto"/>
    </w:rPr>
  </w:style>
  <w:style w:type="character" w:styleId="af4">
    <w:name w:val="Intense Emphasis"/>
    <w:basedOn w:val="a1"/>
    <w:uiPriority w:val="99"/>
    <w:qFormat/>
    <w:rPr>
      <w:b/>
      <w:bCs/>
      <w:i/>
      <w:iCs/>
      <w:sz w:val="24"/>
      <w:szCs w:val="24"/>
      <w:u w:val="single"/>
    </w:rPr>
  </w:style>
  <w:style w:type="character" w:styleId="af5">
    <w:name w:val="Subtle Reference"/>
    <w:basedOn w:val="a1"/>
    <w:uiPriority w:val="99"/>
    <w:qFormat/>
    <w:rPr>
      <w:sz w:val="24"/>
      <w:szCs w:val="24"/>
      <w:u w:val="single"/>
    </w:rPr>
  </w:style>
  <w:style w:type="character" w:styleId="af6">
    <w:name w:val="Intense Reference"/>
    <w:basedOn w:val="a1"/>
    <w:uiPriority w:val="99"/>
    <w:qFormat/>
    <w:rPr>
      <w:b/>
      <w:bCs/>
      <w:sz w:val="24"/>
      <w:szCs w:val="24"/>
      <w:u w:val="single"/>
    </w:rPr>
  </w:style>
  <w:style w:type="character" w:styleId="af7">
    <w:name w:val="Book Title"/>
    <w:basedOn w:val="a1"/>
    <w:uiPriority w:val="99"/>
    <w:qFormat/>
    <w:rPr>
      <w:rFonts w:ascii="Times New Roman" w:hAnsi="Times New Roman" w:cs="Times New Roman"/>
      <w:b/>
      <w:bCs/>
      <w:i/>
      <w:iCs/>
      <w:sz w:val="24"/>
      <w:szCs w:val="24"/>
    </w:rPr>
  </w:style>
  <w:style w:type="paragraph" w:styleId="af8">
    <w:name w:val="TOC Heading"/>
    <w:basedOn w:val="10"/>
    <w:next w:val="a0"/>
    <w:uiPriority w:val="99"/>
    <w:qFormat/>
    <w:pPr>
      <w:outlineLvl w:val="9"/>
    </w:pPr>
  </w:style>
  <w:style w:type="paragraph" w:styleId="af9">
    <w:name w:val="header"/>
    <w:basedOn w:val="a0"/>
    <w:link w:val="afa"/>
    <w:uiPriority w:val="99"/>
    <w:pPr>
      <w:tabs>
        <w:tab w:val="center" w:pos="4677"/>
        <w:tab w:val="right" w:pos="9355"/>
      </w:tabs>
    </w:pPr>
  </w:style>
  <w:style w:type="character" w:customStyle="1" w:styleId="afa">
    <w:name w:val="Верхний колонтитул Знак"/>
    <w:basedOn w:val="a1"/>
    <w:link w:val="af9"/>
    <w:uiPriority w:val="99"/>
    <w:rPr>
      <w:sz w:val="24"/>
      <w:szCs w:val="24"/>
    </w:rPr>
  </w:style>
  <w:style w:type="paragraph" w:styleId="afb">
    <w:name w:val="footer"/>
    <w:basedOn w:val="a0"/>
    <w:link w:val="afc"/>
    <w:uiPriority w:val="99"/>
    <w:pPr>
      <w:tabs>
        <w:tab w:val="center" w:pos="4677"/>
        <w:tab w:val="right" w:pos="9355"/>
      </w:tabs>
    </w:pPr>
  </w:style>
  <w:style w:type="character" w:customStyle="1" w:styleId="afc">
    <w:name w:val="Нижний колонтитул Знак"/>
    <w:basedOn w:val="a1"/>
    <w:link w:val="afb"/>
    <w:uiPriority w:val="99"/>
    <w:rPr>
      <w:sz w:val="24"/>
      <w:szCs w:val="24"/>
    </w:rPr>
  </w:style>
  <w:style w:type="paragraph" w:styleId="afd">
    <w:name w:val="Balloon Text"/>
    <w:basedOn w:val="a0"/>
    <w:link w:val="afe"/>
    <w:uiPriority w:val="99"/>
    <w:semiHidden/>
    <w:rPr>
      <w:rFonts w:ascii="Tahoma" w:hAnsi="Tahoma" w:cs="Tahoma"/>
      <w:sz w:val="16"/>
      <w:szCs w:val="16"/>
    </w:rPr>
  </w:style>
  <w:style w:type="character" w:customStyle="1" w:styleId="afe">
    <w:name w:val="Текст выноски Знак"/>
    <w:basedOn w:val="a1"/>
    <w:link w:val="afd"/>
    <w:uiPriority w:val="99"/>
    <w:semiHidden/>
    <w:rPr>
      <w:rFonts w:ascii="Tahoma" w:hAnsi="Tahoma" w:cs="Tahoma"/>
      <w:sz w:val="16"/>
      <w:szCs w:val="16"/>
    </w:rPr>
  </w:style>
  <w:style w:type="paragraph" w:styleId="13">
    <w:name w:val="toc 1"/>
    <w:basedOn w:val="a0"/>
    <w:next w:val="a0"/>
    <w:uiPriority w:val="39"/>
    <w:pPr>
      <w:tabs>
        <w:tab w:val="right" w:leader="dot" w:pos="9627"/>
      </w:tabs>
      <w:ind w:firstLine="142"/>
    </w:pPr>
    <w:rPr>
      <w:sz w:val="28"/>
      <w:szCs w:val="28"/>
    </w:rPr>
  </w:style>
  <w:style w:type="paragraph" w:styleId="24">
    <w:name w:val="toc 2"/>
    <w:basedOn w:val="a0"/>
    <w:next w:val="a0"/>
    <w:uiPriority w:val="39"/>
    <w:pPr>
      <w:tabs>
        <w:tab w:val="left" w:pos="567"/>
        <w:tab w:val="left" w:pos="960"/>
        <w:tab w:val="right" w:leader="dot" w:pos="9627"/>
      </w:tabs>
      <w:ind w:firstLine="0"/>
    </w:pPr>
    <w:rPr>
      <w:spacing w:val="-8"/>
      <w:sz w:val="28"/>
      <w:szCs w:val="28"/>
    </w:rPr>
  </w:style>
  <w:style w:type="paragraph" w:styleId="32">
    <w:name w:val="toc 3"/>
    <w:basedOn w:val="a0"/>
    <w:next w:val="a0"/>
    <w:uiPriority w:val="99"/>
    <w:semiHidden/>
    <w:pPr>
      <w:ind w:left="480"/>
    </w:pPr>
    <w:rPr>
      <w:sz w:val="28"/>
      <w:szCs w:val="28"/>
    </w:rPr>
  </w:style>
  <w:style w:type="paragraph" w:styleId="42">
    <w:name w:val="toc 4"/>
    <w:basedOn w:val="a0"/>
    <w:next w:val="a0"/>
    <w:uiPriority w:val="99"/>
    <w:semiHidden/>
    <w:pPr>
      <w:ind w:left="720"/>
    </w:pPr>
    <w:rPr>
      <w:sz w:val="20"/>
      <w:szCs w:val="20"/>
    </w:rPr>
  </w:style>
  <w:style w:type="paragraph" w:styleId="52">
    <w:name w:val="toc 5"/>
    <w:basedOn w:val="a0"/>
    <w:next w:val="a0"/>
    <w:uiPriority w:val="99"/>
    <w:semiHidden/>
    <w:pPr>
      <w:ind w:left="960"/>
    </w:pPr>
    <w:rPr>
      <w:sz w:val="20"/>
      <w:szCs w:val="20"/>
    </w:rPr>
  </w:style>
  <w:style w:type="paragraph" w:styleId="61">
    <w:name w:val="toc 6"/>
    <w:basedOn w:val="a0"/>
    <w:next w:val="a0"/>
    <w:uiPriority w:val="99"/>
    <w:semiHidden/>
    <w:pPr>
      <w:ind w:left="1200"/>
    </w:pPr>
    <w:rPr>
      <w:sz w:val="20"/>
      <w:szCs w:val="20"/>
    </w:rPr>
  </w:style>
  <w:style w:type="paragraph" w:styleId="71">
    <w:name w:val="toc 7"/>
    <w:basedOn w:val="a0"/>
    <w:next w:val="a0"/>
    <w:uiPriority w:val="99"/>
    <w:semiHidden/>
    <w:pPr>
      <w:ind w:left="1440"/>
    </w:pPr>
    <w:rPr>
      <w:sz w:val="20"/>
      <w:szCs w:val="20"/>
    </w:rPr>
  </w:style>
  <w:style w:type="paragraph" w:styleId="81">
    <w:name w:val="toc 8"/>
    <w:basedOn w:val="a0"/>
    <w:next w:val="a0"/>
    <w:uiPriority w:val="99"/>
    <w:semiHidden/>
    <w:pPr>
      <w:ind w:left="1680"/>
    </w:pPr>
    <w:rPr>
      <w:sz w:val="20"/>
      <w:szCs w:val="20"/>
    </w:rPr>
  </w:style>
  <w:style w:type="paragraph" w:styleId="91">
    <w:name w:val="toc 9"/>
    <w:basedOn w:val="a0"/>
    <w:next w:val="a0"/>
    <w:uiPriority w:val="99"/>
    <w:semiHidden/>
    <w:pPr>
      <w:ind w:left="1920"/>
    </w:pPr>
    <w:rPr>
      <w:sz w:val="20"/>
      <w:szCs w:val="20"/>
    </w:rPr>
  </w:style>
  <w:style w:type="character" w:styleId="aff">
    <w:name w:val="Hyperlink"/>
    <w:basedOn w:val="a1"/>
    <w:uiPriority w:val="99"/>
    <w:rPr>
      <w:color w:val="0000FF"/>
      <w:u w:val="single"/>
    </w:rPr>
  </w:style>
  <w:style w:type="paragraph" w:styleId="aff0">
    <w:name w:val="footnote text"/>
    <w:basedOn w:val="a0"/>
    <w:link w:val="aff1"/>
    <w:uiPriority w:val="99"/>
    <w:semiHidden/>
    <w:rPr>
      <w:sz w:val="20"/>
      <w:szCs w:val="20"/>
    </w:rPr>
  </w:style>
  <w:style w:type="character" w:customStyle="1" w:styleId="aff1">
    <w:name w:val="Текст сноски Знак"/>
    <w:basedOn w:val="a1"/>
    <w:link w:val="aff0"/>
    <w:uiPriority w:val="99"/>
    <w:rPr>
      <w:sz w:val="20"/>
      <w:szCs w:val="20"/>
    </w:rPr>
  </w:style>
  <w:style w:type="character" w:styleId="aff2">
    <w:name w:val="footnote reference"/>
    <w:basedOn w:val="a1"/>
    <w:uiPriority w:val="99"/>
    <w:semiHidden/>
    <w:rPr>
      <w:vertAlign w:val="superscript"/>
    </w:rPr>
  </w:style>
  <w:style w:type="character" w:styleId="aff3">
    <w:name w:val="annotation reference"/>
    <w:basedOn w:val="a1"/>
    <w:uiPriority w:val="99"/>
    <w:semiHidden/>
    <w:rPr>
      <w:sz w:val="16"/>
      <w:szCs w:val="16"/>
    </w:rPr>
  </w:style>
  <w:style w:type="paragraph" w:styleId="aff4">
    <w:name w:val="annotation text"/>
    <w:basedOn w:val="a0"/>
    <w:link w:val="aff5"/>
    <w:uiPriority w:val="99"/>
    <w:rPr>
      <w:sz w:val="20"/>
      <w:szCs w:val="20"/>
    </w:rPr>
  </w:style>
  <w:style w:type="character" w:customStyle="1" w:styleId="aff5">
    <w:name w:val="Текст примечания Знак"/>
    <w:basedOn w:val="a1"/>
    <w:link w:val="aff4"/>
    <w:uiPriority w:val="99"/>
    <w:rPr>
      <w:sz w:val="20"/>
      <w:szCs w:val="20"/>
    </w:rPr>
  </w:style>
  <w:style w:type="paragraph" w:styleId="aff6">
    <w:name w:val="annotation subject"/>
    <w:basedOn w:val="aff4"/>
    <w:next w:val="aff4"/>
    <w:link w:val="aff7"/>
    <w:uiPriority w:val="99"/>
    <w:semiHidden/>
    <w:rPr>
      <w:b/>
      <w:bCs/>
    </w:rPr>
  </w:style>
  <w:style w:type="character" w:customStyle="1" w:styleId="aff7">
    <w:name w:val="Тема примечания Знак"/>
    <w:basedOn w:val="aff5"/>
    <w:link w:val="aff6"/>
    <w:uiPriority w:val="99"/>
    <w:semiHidden/>
    <w:rPr>
      <w:b/>
      <w:bCs/>
      <w:sz w:val="20"/>
      <w:szCs w:val="20"/>
    </w:rPr>
  </w:style>
  <w:style w:type="table" w:styleId="aff8">
    <w:name w:val="Table Grid"/>
    <w:basedOn w:val="a2"/>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Pr>
      <w:sz w:val="24"/>
      <w:szCs w:val="24"/>
      <w:lang w:eastAsia="en-US"/>
    </w:rPr>
  </w:style>
  <w:style w:type="paragraph" w:customStyle="1" w:styleId="aff9">
    <w:name w:val="Абзац текст"/>
    <w:basedOn w:val="a0"/>
    <w:link w:val="affa"/>
    <w:uiPriority w:val="99"/>
    <w:pPr>
      <w:jc w:val="both"/>
    </w:pPr>
    <w:rPr>
      <w:sz w:val="28"/>
      <w:szCs w:val="28"/>
    </w:rPr>
  </w:style>
  <w:style w:type="character" w:customStyle="1" w:styleId="affa">
    <w:name w:val="Абзац текст Знак"/>
    <w:basedOn w:val="a1"/>
    <w:link w:val="aff9"/>
    <w:uiPriority w:val="99"/>
    <w:rPr>
      <w:sz w:val="24"/>
      <w:szCs w:val="24"/>
    </w:rPr>
  </w:style>
  <w:style w:type="paragraph" w:customStyle="1" w:styleId="ConsPlusNonformat">
    <w:name w:val="ConsPlusNonformat"/>
    <w:uiPriority w:val="99"/>
    <w:pPr>
      <w:widowControl w:val="0"/>
    </w:pPr>
    <w:rPr>
      <w:rFonts w:ascii="Courier New" w:hAnsi="Courier New" w:cs="Courier New"/>
      <w:sz w:val="20"/>
      <w:szCs w:val="20"/>
    </w:rPr>
  </w:style>
  <w:style w:type="character" w:styleId="affb">
    <w:name w:val="FollowedHyperlink"/>
    <w:basedOn w:val="a1"/>
    <w:uiPriority w:val="99"/>
    <w:semiHidden/>
    <w:rPr>
      <w:color w:val="800080"/>
      <w:u w:val="single"/>
    </w:rPr>
  </w:style>
  <w:style w:type="paragraph" w:customStyle="1" w:styleId="font0">
    <w:name w:val="font0"/>
    <w:basedOn w:val="a0"/>
    <w:uiPriority w:val="99"/>
    <w:pPr>
      <w:spacing w:before="100" w:beforeAutospacing="1" w:after="100" w:afterAutospacing="1"/>
      <w:ind w:firstLine="0"/>
    </w:pPr>
    <w:rPr>
      <w:rFonts w:ascii="Arial CYR" w:hAnsi="Arial CYR" w:cs="Arial CYR"/>
      <w:sz w:val="20"/>
      <w:szCs w:val="20"/>
      <w:lang w:eastAsia="ru-RU"/>
    </w:rPr>
  </w:style>
  <w:style w:type="paragraph" w:customStyle="1" w:styleId="font1">
    <w:name w:val="font1"/>
    <w:basedOn w:val="a0"/>
    <w:uiPriority w:val="99"/>
    <w:pPr>
      <w:spacing w:before="100" w:beforeAutospacing="1" w:after="100" w:afterAutospacing="1"/>
      <w:ind w:firstLine="0"/>
    </w:pPr>
    <w:rPr>
      <w:rFonts w:ascii="Calibri" w:hAnsi="Calibri" w:cs="Calibri"/>
      <w:color w:val="000000"/>
      <w:sz w:val="22"/>
      <w:szCs w:val="22"/>
      <w:lang w:eastAsia="ru-RU"/>
    </w:rPr>
  </w:style>
  <w:style w:type="paragraph" w:customStyle="1" w:styleId="font5">
    <w:name w:val="font5"/>
    <w:basedOn w:val="a0"/>
    <w:uiPriority w:val="99"/>
    <w:pPr>
      <w:spacing w:before="100" w:beforeAutospacing="1" w:after="100" w:afterAutospacing="1"/>
      <w:ind w:firstLine="0"/>
    </w:pPr>
    <w:rPr>
      <w:rFonts w:ascii="Arial" w:hAnsi="Arial" w:cs="Arial"/>
      <w:b/>
      <w:bCs/>
      <w:sz w:val="20"/>
      <w:szCs w:val="20"/>
      <w:lang w:eastAsia="ru-RU"/>
    </w:rPr>
  </w:style>
  <w:style w:type="paragraph" w:customStyle="1" w:styleId="font6">
    <w:name w:val="font6"/>
    <w:basedOn w:val="a0"/>
    <w:uiPriority w:val="99"/>
    <w:pPr>
      <w:spacing w:before="100" w:beforeAutospacing="1" w:after="100" w:afterAutospacing="1"/>
      <w:ind w:firstLine="0"/>
    </w:pPr>
    <w:rPr>
      <w:rFonts w:ascii="Arial" w:hAnsi="Arial" w:cs="Arial"/>
      <w:sz w:val="20"/>
      <w:szCs w:val="20"/>
      <w:lang w:eastAsia="ru-RU"/>
    </w:rPr>
  </w:style>
  <w:style w:type="paragraph" w:customStyle="1" w:styleId="font7">
    <w:name w:val="font7"/>
    <w:basedOn w:val="a0"/>
    <w:uiPriority w:val="99"/>
    <w:pPr>
      <w:spacing w:before="100" w:beforeAutospacing="1" w:after="100" w:afterAutospacing="1"/>
      <w:ind w:firstLine="0"/>
    </w:pPr>
    <w:rPr>
      <w:rFonts w:ascii="Arial" w:hAnsi="Arial" w:cs="Arial"/>
      <w:i/>
      <w:iCs/>
      <w:sz w:val="20"/>
      <w:szCs w:val="20"/>
      <w:lang w:eastAsia="ru-RU"/>
    </w:rPr>
  </w:style>
  <w:style w:type="paragraph" w:customStyle="1" w:styleId="font8">
    <w:name w:val="font8"/>
    <w:basedOn w:val="a0"/>
    <w:uiPriority w:val="99"/>
    <w:pPr>
      <w:spacing w:before="100" w:beforeAutospacing="1" w:after="100" w:afterAutospacing="1"/>
      <w:ind w:firstLine="0"/>
    </w:pPr>
    <w:rPr>
      <w:rFonts w:ascii="Arial" w:hAnsi="Arial" w:cs="Arial"/>
      <w:b/>
      <w:bCs/>
      <w:i/>
      <w:iCs/>
      <w:sz w:val="20"/>
      <w:szCs w:val="20"/>
      <w:lang w:eastAsia="ru-RU"/>
    </w:rPr>
  </w:style>
  <w:style w:type="paragraph" w:customStyle="1" w:styleId="font9">
    <w:name w:val="font9"/>
    <w:basedOn w:val="a0"/>
    <w:uiPriority w:val="99"/>
    <w:pPr>
      <w:spacing w:before="100" w:beforeAutospacing="1" w:after="100" w:afterAutospacing="1"/>
      <w:ind w:firstLine="0"/>
    </w:pPr>
    <w:rPr>
      <w:rFonts w:ascii="Arial" w:hAnsi="Arial" w:cs="Arial"/>
      <w:sz w:val="20"/>
      <w:szCs w:val="20"/>
      <w:u w:val="single"/>
      <w:lang w:eastAsia="ru-RU"/>
    </w:rPr>
  </w:style>
  <w:style w:type="paragraph" w:customStyle="1" w:styleId="font10">
    <w:name w:val="font10"/>
    <w:basedOn w:val="a0"/>
    <w:uiPriority w:val="99"/>
    <w:pPr>
      <w:spacing w:before="100" w:beforeAutospacing="1" w:after="100" w:afterAutospacing="1"/>
      <w:ind w:firstLine="0"/>
    </w:pPr>
    <w:rPr>
      <w:rFonts w:ascii="Calibri" w:hAnsi="Calibri" w:cs="Calibri"/>
      <w:b/>
      <w:bCs/>
      <w:color w:val="000000"/>
      <w:sz w:val="22"/>
      <w:szCs w:val="22"/>
      <w:lang w:eastAsia="ru-RU"/>
    </w:rPr>
  </w:style>
  <w:style w:type="paragraph" w:customStyle="1" w:styleId="font11">
    <w:name w:val="font11"/>
    <w:basedOn w:val="a0"/>
    <w:uiPriority w:val="99"/>
    <w:pPr>
      <w:spacing w:before="100" w:beforeAutospacing="1" w:after="100" w:afterAutospacing="1"/>
      <w:ind w:firstLine="0"/>
    </w:pPr>
    <w:rPr>
      <w:rFonts w:ascii="Arial CYR" w:hAnsi="Arial CYR" w:cs="Arial CYR"/>
      <w:i/>
      <w:iCs/>
      <w:sz w:val="20"/>
      <w:szCs w:val="20"/>
      <w:lang w:eastAsia="ru-RU"/>
    </w:rPr>
  </w:style>
  <w:style w:type="paragraph" w:customStyle="1" w:styleId="xl66">
    <w:name w:val="xl66"/>
    <w:basedOn w:val="a0"/>
    <w:uiPriority w:val="99"/>
    <w:pPr>
      <w:spacing w:before="100" w:beforeAutospacing="1" w:after="100" w:afterAutospacing="1"/>
      <w:ind w:firstLine="0"/>
    </w:pPr>
    <w:rPr>
      <w:rFonts w:ascii="Arial" w:hAnsi="Arial" w:cs="Arial"/>
      <w:lang w:eastAsia="ru-RU"/>
    </w:rPr>
  </w:style>
  <w:style w:type="paragraph" w:customStyle="1" w:styleId="xl67">
    <w:name w:val="xl67"/>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b/>
      <w:bCs/>
      <w:lang w:eastAsia="ru-RU"/>
    </w:rPr>
  </w:style>
  <w:style w:type="paragraph" w:customStyle="1" w:styleId="xl68">
    <w:name w:val="xl68"/>
    <w:basedOn w:val="a0"/>
    <w:uiPriority w:val="99"/>
    <w:pPr>
      <w:spacing w:before="100" w:beforeAutospacing="1" w:after="100" w:afterAutospacing="1"/>
      <w:ind w:firstLine="0"/>
    </w:pPr>
    <w:rPr>
      <w:rFonts w:ascii="Arial" w:hAnsi="Arial" w:cs="Arial"/>
      <w:b/>
      <w:bCs/>
      <w:lang w:eastAsia="ru-RU"/>
    </w:rPr>
  </w:style>
  <w:style w:type="paragraph" w:customStyle="1" w:styleId="xl69">
    <w:name w:val="xl69"/>
    <w:basedOn w:val="a0"/>
    <w:uiPriority w:val="99"/>
    <w:pPr>
      <w:spacing w:before="100" w:beforeAutospacing="1" w:after="100" w:afterAutospacing="1"/>
      <w:ind w:firstLine="0"/>
    </w:pPr>
    <w:rPr>
      <w:rFonts w:ascii="Arial" w:hAnsi="Arial" w:cs="Arial"/>
      <w:lang w:eastAsia="ru-RU"/>
    </w:rPr>
  </w:style>
  <w:style w:type="paragraph" w:customStyle="1" w:styleId="xl70">
    <w:name w:val="xl70"/>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71">
    <w:name w:val="xl71"/>
    <w:basedOn w:val="a0"/>
    <w:uiPriority w:val="99"/>
    <w:pPr>
      <w:pBdr>
        <w:top w:val="single" w:sz="4" w:space="0" w:color="000000"/>
        <w:left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72">
    <w:name w:val="xl72"/>
    <w:basedOn w:val="a0"/>
    <w:uiPriority w:val="99"/>
    <w:pPr>
      <w:spacing w:before="100" w:beforeAutospacing="1" w:after="100" w:afterAutospacing="1"/>
      <w:ind w:firstLine="0"/>
    </w:pPr>
    <w:rPr>
      <w:rFonts w:ascii="Arial" w:hAnsi="Arial" w:cs="Arial"/>
      <w:color w:val="0070C0"/>
      <w:lang w:eastAsia="ru-RU"/>
    </w:rPr>
  </w:style>
  <w:style w:type="paragraph" w:customStyle="1" w:styleId="xl73">
    <w:name w:val="xl73"/>
    <w:basedOn w:val="a0"/>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74">
    <w:name w:val="xl74"/>
    <w:basedOn w:val="a0"/>
    <w:uiPriority w:val="99"/>
    <w:pPr>
      <w:pBdr>
        <w:top w:val="single" w:sz="8" w:space="0" w:color="000000"/>
        <w:bottom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75">
    <w:name w:val="xl75"/>
    <w:basedOn w:val="a0"/>
    <w:uiPriority w:val="99"/>
    <w:pPr>
      <w:pBdr>
        <w:top w:val="single" w:sz="8" w:space="0" w:color="000000"/>
        <w:bottom w:val="single" w:sz="8" w:space="0" w:color="000000"/>
      </w:pBdr>
      <w:spacing w:before="100" w:beforeAutospacing="1" w:after="100" w:afterAutospacing="1"/>
      <w:ind w:firstLine="0"/>
      <w:jc w:val="center"/>
    </w:pPr>
    <w:rPr>
      <w:rFonts w:ascii="Arial" w:hAnsi="Arial" w:cs="Arial"/>
      <w:lang w:eastAsia="ru-RU"/>
    </w:rPr>
  </w:style>
  <w:style w:type="paragraph" w:customStyle="1" w:styleId="xl76">
    <w:name w:val="xl76"/>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b/>
      <w:bCs/>
      <w:i/>
      <w:iCs/>
      <w:lang w:eastAsia="ru-RU"/>
    </w:rPr>
  </w:style>
  <w:style w:type="paragraph" w:customStyle="1" w:styleId="xl77">
    <w:name w:val="xl77"/>
    <w:basedOn w:val="a0"/>
    <w:uiPriority w:val="99"/>
    <w:pPr>
      <w:spacing w:before="100" w:beforeAutospacing="1" w:after="100" w:afterAutospacing="1"/>
      <w:ind w:firstLine="0"/>
    </w:pPr>
    <w:rPr>
      <w:rFonts w:ascii="Arial" w:hAnsi="Arial" w:cs="Arial"/>
      <w:b/>
      <w:bCs/>
      <w:i/>
      <w:iCs/>
      <w:lang w:eastAsia="ru-RU"/>
    </w:rPr>
  </w:style>
  <w:style w:type="paragraph" w:customStyle="1" w:styleId="xl78">
    <w:name w:val="xl78"/>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i/>
      <w:iCs/>
      <w:lang w:eastAsia="ru-RU"/>
    </w:rPr>
  </w:style>
  <w:style w:type="paragraph" w:customStyle="1" w:styleId="xl79">
    <w:name w:val="xl79"/>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pPr>
    <w:rPr>
      <w:rFonts w:ascii="Arial" w:hAnsi="Arial" w:cs="Arial"/>
      <w:lang w:eastAsia="ru-RU"/>
    </w:rPr>
  </w:style>
  <w:style w:type="paragraph" w:customStyle="1" w:styleId="xl80">
    <w:name w:val="xl80"/>
    <w:basedOn w:val="a0"/>
    <w:uiPriority w:val="99"/>
    <w:pPr>
      <w:pBdr>
        <w:top w:val="single" w:sz="4" w:space="0" w:color="000000"/>
        <w:left w:val="single" w:sz="4" w:space="18"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81">
    <w:name w:val="xl81"/>
    <w:basedOn w:val="a0"/>
    <w:uiPriority w:val="99"/>
    <w:pPr>
      <w:pBdr>
        <w:top w:val="single" w:sz="4" w:space="0" w:color="000000"/>
        <w:left w:val="single" w:sz="4" w:space="18" w:color="000000"/>
        <w:right w:val="single" w:sz="4" w:space="0" w:color="000000"/>
      </w:pBdr>
      <w:spacing w:before="100" w:beforeAutospacing="1" w:after="100" w:afterAutospacing="1"/>
      <w:ind w:firstLine="0"/>
    </w:pPr>
    <w:rPr>
      <w:rFonts w:ascii="Arial" w:hAnsi="Arial" w:cs="Arial"/>
      <w:lang w:eastAsia="ru-RU"/>
    </w:rPr>
  </w:style>
  <w:style w:type="paragraph" w:customStyle="1" w:styleId="xl82">
    <w:name w:val="xl82"/>
    <w:basedOn w:val="a0"/>
    <w:uiPriority w:val="99"/>
    <w:pPr>
      <w:pBdr>
        <w:top w:val="single" w:sz="4" w:space="0" w:color="000000"/>
        <w:left w:val="single" w:sz="4" w:space="31" w:color="000000"/>
        <w:right w:val="single" w:sz="4" w:space="0" w:color="000000"/>
      </w:pBdr>
      <w:spacing w:before="100" w:beforeAutospacing="1" w:after="100" w:afterAutospacing="1"/>
      <w:ind w:firstLine="0"/>
    </w:pPr>
    <w:rPr>
      <w:rFonts w:ascii="Arial" w:hAnsi="Arial" w:cs="Arial"/>
      <w:lang w:eastAsia="ru-RU"/>
    </w:rPr>
  </w:style>
  <w:style w:type="paragraph" w:customStyle="1" w:styleId="xl83">
    <w:name w:val="xl83"/>
    <w:basedOn w:val="a0"/>
    <w:uiPriority w:val="99"/>
    <w:pPr>
      <w:pBdr>
        <w:top w:val="single" w:sz="4" w:space="0" w:color="000000"/>
        <w:left w:val="single" w:sz="4" w:space="31"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84">
    <w:name w:val="xl84"/>
    <w:basedOn w:val="a0"/>
    <w:uiPriority w:val="99"/>
    <w:pPr>
      <w:spacing w:before="100" w:beforeAutospacing="1" w:after="100" w:afterAutospacing="1"/>
      <w:ind w:firstLine="0"/>
    </w:pPr>
    <w:rPr>
      <w:rFonts w:ascii="Arial" w:hAnsi="Arial" w:cs="Arial"/>
      <w:b/>
      <w:bCs/>
      <w:lang w:eastAsia="ru-RU"/>
    </w:rPr>
  </w:style>
  <w:style w:type="paragraph" w:customStyle="1" w:styleId="xl85">
    <w:name w:val="xl85"/>
    <w:basedOn w:val="a0"/>
    <w:uiPriority w:val="99"/>
    <w:pPr>
      <w:pBdr>
        <w:top w:val="single" w:sz="4" w:space="0" w:color="000000"/>
        <w:left w:val="single" w:sz="4" w:space="0" w:color="000000"/>
        <w:right w:val="single" w:sz="4" w:space="0" w:color="000000"/>
      </w:pBdr>
      <w:spacing w:before="100" w:beforeAutospacing="1" w:after="100" w:afterAutospacing="1"/>
      <w:ind w:firstLine="0"/>
      <w:jc w:val="center"/>
    </w:pPr>
    <w:rPr>
      <w:rFonts w:ascii="Arial" w:hAnsi="Arial" w:cs="Arial"/>
      <w:lang w:eastAsia="ru-RU"/>
    </w:rPr>
  </w:style>
  <w:style w:type="paragraph" w:customStyle="1" w:styleId="xl86">
    <w:name w:val="xl86"/>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i/>
      <w:iCs/>
      <w:lang w:eastAsia="ru-RU"/>
    </w:rPr>
  </w:style>
  <w:style w:type="paragraph" w:customStyle="1" w:styleId="xl87">
    <w:name w:val="xl87"/>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b/>
      <w:bCs/>
      <w:lang w:eastAsia="ru-RU"/>
    </w:rPr>
  </w:style>
  <w:style w:type="paragraph" w:customStyle="1" w:styleId="xl88">
    <w:name w:val="xl88"/>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b/>
      <w:bCs/>
      <w:lang w:eastAsia="ru-RU"/>
    </w:rPr>
  </w:style>
  <w:style w:type="paragraph" w:customStyle="1" w:styleId="xl89">
    <w:name w:val="xl89"/>
    <w:basedOn w:val="a0"/>
    <w:uiPriority w:val="99"/>
    <w:pPr>
      <w:pBdr>
        <w:top w:val="single" w:sz="4" w:space="0" w:color="000000"/>
        <w:left w:val="single" w:sz="4" w:space="0" w:color="000000"/>
        <w:right w:val="single" w:sz="4" w:space="0" w:color="000000"/>
      </w:pBdr>
      <w:spacing w:before="100" w:beforeAutospacing="1" w:after="100" w:afterAutospacing="1"/>
      <w:ind w:firstLine="0"/>
    </w:pPr>
    <w:rPr>
      <w:rFonts w:ascii="Arial" w:hAnsi="Arial" w:cs="Arial"/>
      <w:b/>
      <w:bCs/>
      <w:lang w:eastAsia="ru-RU"/>
    </w:rPr>
  </w:style>
  <w:style w:type="paragraph" w:customStyle="1" w:styleId="xl90">
    <w:name w:val="xl90"/>
    <w:basedOn w:val="a0"/>
    <w:uiPriority w:val="99"/>
    <w:pPr>
      <w:pBdr>
        <w:top w:val="single" w:sz="4" w:space="0" w:color="000000"/>
        <w:left w:val="single" w:sz="4" w:space="0" w:color="000000"/>
      </w:pBdr>
      <w:spacing w:before="100" w:beforeAutospacing="1" w:after="100" w:afterAutospacing="1"/>
      <w:ind w:firstLine="0"/>
    </w:pPr>
    <w:rPr>
      <w:rFonts w:ascii="Arial" w:hAnsi="Arial" w:cs="Arial"/>
      <w:b/>
      <w:bCs/>
      <w:lang w:eastAsia="ru-RU"/>
    </w:rPr>
  </w:style>
  <w:style w:type="paragraph" w:customStyle="1" w:styleId="xl91">
    <w:name w:val="xl91"/>
    <w:basedOn w:val="a0"/>
    <w:uiPriority w:val="99"/>
    <w:pPr>
      <w:pBdr>
        <w:left w:val="single" w:sz="4" w:space="0" w:color="000000"/>
      </w:pBdr>
      <w:spacing w:before="100" w:beforeAutospacing="1" w:after="100" w:afterAutospacing="1"/>
      <w:ind w:firstLine="0"/>
      <w:jc w:val="right"/>
    </w:pPr>
    <w:rPr>
      <w:rFonts w:ascii="Arial" w:hAnsi="Arial" w:cs="Arial"/>
      <w:b/>
      <w:bCs/>
      <w:lang w:eastAsia="ru-RU"/>
    </w:rPr>
  </w:style>
  <w:style w:type="paragraph" w:customStyle="1" w:styleId="xl92">
    <w:name w:val="xl92"/>
    <w:basedOn w:val="a0"/>
    <w:uiPriority w:val="99"/>
    <w:pPr>
      <w:pBdr>
        <w:left w:val="single" w:sz="4" w:space="0" w:color="000000"/>
      </w:pBdr>
      <w:spacing w:before="100" w:beforeAutospacing="1" w:after="100" w:afterAutospacing="1"/>
      <w:ind w:firstLine="0"/>
      <w:jc w:val="right"/>
    </w:pPr>
    <w:rPr>
      <w:rFonts w:ascii="Arial" w:hAnsi="Arial" w:cs="Arial"/>
      <w:i/>
      <w:iCs/>
      <w:lang w:eastAsia="ru-RU"/>
    </w:rPr>
  </w:style>
  <w:style w:type="paragraph" w:customStyle="1" w:styleId="xl93">
    <w:name w:val="xl93"/>
    <w:basedOn w:val="a0"/>
    <w:uiPriority w:val="99"/>
    <w:pPr>
      <w:pBdr>
        <w:left w:val="single" w:sz="4" w:space="0" w:color="000000"/>
      </w:pBdr>
      <w:spacing w:before="100" w:beforeAutospacing="1" w:after="100" w:afterAutospacing="1"/>
      <w:ind w:firstLine="0"/>
    </w:pPr>
    <w:rPr>
      <w:rFonts w:ascii="Arial" w:hAnsi="Arial" w:cs="Arial"/>
      <w:lang w:eastAsia="ru-RU"/>
    </w:rPr>
  </w:style>
  <w:style w:type="paragraph" w:customStyle="1" w:styleId="xl94">
    <w:name w:val="xl94"/>
    <w:basedOn w:val="a0"/>
    <w:uiPriority w:val="99"/>
    <w:pPr>
      <w:pBdr>
        <w:top w:val="single" w:sz="4" w:space="0" w:color="000000"/>
        <w:left w:val="single" w:sz="4" w:space="0" w:color="000000"/>
        <w:bottom w:val="single" w:sz="4" w:space="0" w:color="000000"/>
      </w:pBdr>
      <w:spacing w:before="100" w:beforeAutospacing="1" w:after="100" w:afterAutospacing="1"/>
      <w:ind w:firstLine="0"/>
    </w:pPr>
    <w:rPr>
      <w:rFonts w:ascii="Arial" w:hAnsi="Arial" w:cs="Arial"/>
      <w:b/>
      <w:bCs/>
      <w:lang w:eastAsia="ru-RU"/>
    </w:rPr>
  </w:style>
  <w:style w:type="paragraph" w:customStyle="1" w:styleId="xl95">
    <w:name w:val="xl95"/>
    <w:basedOn w:val="a0"/>
    <w:uiPriority w:val="99"/>
    <w:pPr>
      <w:spacing w:before="100" w:beforeAutospacing="1" w:after="100" w:afterAutospacing="1"/>
      <w:ind w:firstLine="0"/>
      <w:jc w:val="center"/>
    </w:pPr>
    <w:rPr>
      <w:rFonts w:ascii="Arial" w:hAnsi="Arial" w:cs="Arial"/>
      <w:i/>
      <w:iCs/>
      <w:lang w:eastAsia="ru-RU"/>
    </w:rPr>
  </w:style>
  <w:style w:type="paragraph" w:customStyle="1" w:styleId="xl96">
    <w:name w:val="xl96"/>
    <w:basedOn w:val="a0"/>
    <w:uiPriority w:val="99"/>
    <w:pPr>
      <w:pBdr>
        <w:top w:val="single" w:sz="8" w:space="0" w:color="000000"/>
        <w:left w:val="single" w:sz="8" w:space="0" w:color="000000"/>
      </w:pBdr>
      <w:spacing w:before="100" w:beforeAutospacing="1" w:after="100" w:afterAutospacing="1"/>
      <w:ind w:firstLine="0"/>
      <w:jc w:val="center"/>
    </w:pPr>
    <w:rPr>
      <w:rFonts w:ascii="Arial" w:hAnsi="Arial" w:cs="Arial"/>
      <w:lang w:eastAsia="ru-RU"/>
    </w:rPr>
  </w:style>
  <w:style w:type="paragraph" w:customStyle="1" w:styleId="xl97">
    <w:name w:val="xl97"/>
    <w:basedOn w:val="a0"/>
    <w:uiPriority w:val="99"/>
    <w:pPr>
      <w:pBdr>
        <w:top w:val="single" w:sz="8" w:space="0" w:color="000000"/>
      </w:pBdr>
      <w:spacing w:before="100" w:beforeAutospacing="1" w:after="100" w:afterAutospacing="1"/>
      <w:ind w:firstLine="0"/>
      <w:jc w:val="center"/>
    </w:pPr>
    <w:rPr>
      <w:rFonts w:ascii="Arial" w:hAnsi="Arial" w:cs="Arial"/>
      <w:lang w:eastAsia="ru-RU"/>
    </w:rPr>
  </w:style>
  <w:style w:type="paragraph" w:customStyle="1" w:styleId="xl98">
    <w:name w:val="xl98"/>
    <w:basedOn w:val="a0"/>
    <w:uiPriority w:val="99"/>
    <w:pPr>
      <w:pBdr>
        <w:top w:val="single" w:sz="8" w:space="0" w:color="000000"/>
      </w:pBdr>
      <w:spacing w:before="100" w:beforeAutospacing="1" w:after="100" w:afterAutospacing="1"/>
      <w:ind w:firstLine="0"/>
      <w:jc w:val="center"/>
    </w:pPr>
    <w:rPr>
      <w:rFonts w:ascii="Arial" w:hAnsi="Arial" w:cs="Arial"/>
      <w:lang w:eastAsia="ru-RU"/>
    </w:rPr>
  </w:style>
  <w:style w:type="paragraph" w:customStyle="1" w:styleId="xl99">
    <w:name w:val="xl99"/>
    <w:basedOn w:val="a0"/>
    <w:uiPriority w:val="99"/>
    <w:pPr>
      <w:spacing w:before="100" w:beforeAutospacing="1" w:after="100" w:afterAutospacing="1"/>
      <w:ind w:firstLine="0"/>
    </w:pPr>
    <w:rPr>
      <w:rFonts w:ascii="Arial" w:hAnsi="Arial" w:cs="Arial"/>
      <w:lang w:eastAsia="ru-RU"/>
    </w:rPr>
  </w:style>
  <w:style w:type="paragraph" w:customStyle="1" w:styleId="xl100">
    <w:name w:val="xl100"/>
    <w:basedOn w:val="a0"/>
    <w:uiPriority w:val="99"/>
    <w:pPr>
      <w:pBdr>
        <w:left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01">
    <w:name w:val="xl101"/>
    <w:basedOn w:val="a0"/>
    <w:uiPriority w:val="99"/>
    <w:pPr>
      <w:spacing w:before="100" w:beforeAutospacing="1" w:after="100" w:afterAutospacing="1"/>
      <w:ind w:firstLine="0"/>
    </w:pPr>
    <w:rPr>
      <w:rFonts w:ascii="Arial" w:hAnsi="Arial" w:cs="Arial"/>
      <w:i/>
      <w:iCs/>
      <w:lang w:eastAsia="ru-RU"/>
    </w:rPr>
  </w:style>
  <w:style w:type="paragraph" w:customStyle="1" w:styleId="xl102">
    <w:name w:val="xl102"/>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b/>
      <w:bCs/>
      <w:lang w:eastAsia="ru-RU"/>
    </w:rPr>
  </w:style>
  <w:style w:type="paragraph" w:customStyle="1" w:styleId="xl103">
    <w:name w:val="xl103"/>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04">
    <w:name w:val="xl104"/>
    <w:basedOn w:val="a0"/>
    <w:uiPriority w:val="99"/>
    <w:pPr>
      <w:pBdr>
        <w:left w:val="single" w:sz="8" w:space="0" w:color="000000"/>
        <w:bottom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105">
    <w:name w:val="xl105"/>
    <w:basedOn w:val="a0"/>
    <w:uiPriority w:val="99"/>
    <w:pPr>
      <w:pBdr>
        <w:left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106">
    <w:name w:val="xl106"/>
    <w:basedOn w:val="a0"/>
    <w:uiPriority w:val="99"/>
    <w:pPr>
      <w:pBdr>
        <w:left w:val="single" w:sz="4" w:space="0" w:color="000000"/>
      </w:pBdr>
      <w:spacing w:before="100" w:beforeAutospacing="1" w:after="100" w:afterAutospacing="1"/>
      <w:ind w:firstLine="0"/>
    </w:pPr>
    <w:rPr>
      <w:rFonts w:ascii="Arial" w:hAnsi="Arial" w:cs="Arial"/>
      <w:lang w:eastAsia="ru-RU"/>
    </w:rPr>
  </w:style>
  <w:style w:type="paragraph" w:customStyle="1" w:styleId="xl107">
    <w:name w:val="xl107"/>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lang w:eastAsia="ru-RU"/>
    </w:rPr>
  </w:style>
  <w:style w:type="paragraph" w:customStyle="1" w:styleId="xl108">
    <w:name w:val="xl108"/>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09">
    <w:name w:val="xl109"/>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lang w:eastAsia="ru-RU"/>
    </w:rPr>
  </w:style>
  <w:style w:type="paragraph" w:customStyle="1" w:styleId="xl110">
    <w:name w:val="xl110"/>
    <w:basedOn w:val="a0"/>
    <w:uiPriority w:val="99"/>
    <w:pPr>
      <w:spacing w:before="100" w:beforeAutospacing="1" w:after="100" w:afterAutospacing="1"/>
      <w:ind w:firstLine="0"/>
    </w:pPr>
    <w:rPr>
      <w:rFonts w:ascii="Arial" w:hAnsi="Arial" w:cs="Arial"/>
      <w:lang w:eastAsia="ru-RU"/>
    </w:rPr>
  </w:style>
  <w:style w:type="paragraph" w:customStyle="1" w:styleId="xl111">
    <w:name w:val="xl111"/>
    <w:basedOn w:val="a0"/>
    <w:uiPriority w:val="99"/>
    <w:pPr>
      <w:pBdr>
        <w:top w:val="single" w:sz="4" w:space="0" w:color="000000"/>
        <w:left w:val="single" w:sz="4" w:space="0" w:color="000000"/>
      </w:pBdr>
      <w:spacing w:before="100" w:beforeAutospacing="1" w:after="100" w:afterAutospacing="1"/>
      <w:ind w:firstLine="0"/>
    </w:pPr>
    <w:rPr>
      <w:rFonts w:ascii="Arial" w:hAnsi="Arial" w:cs="Arial"/>
      <w:lang w:eastAsia="ru-RU"/>
    </w:rPr>
  </w:style>
  <w:style w:type="paragraph" w:customStyle="1" w:styleId="xl112">
    <w:name w:val="xl112"/>
    <w:basedOn w:val="a0"/>
    <w:uiPriority w:val="99"/>
    <w:pPr>
      <w:pBdr>
        <w:top w:val="single" w:sz="4" w:space="0" w:color="000000"/>
      </w:pBdr>
      <w:spacing w:before="100" w:beforeAutospacing="1" w:after="100" w:afterAutospacing="1"/>
      <w:ind w:firstLine="0"/>
    </w:pPr>
    <w:rPr>
      <w:rFonts w:ascii="Arial" w:hAnsi="Arial" w:cs="Arial"/>
      <w:lang w:eastAsia="ru-RU"/>
    </w:rPr>
  </w:style>
  <w:style w:type="paragraph" w:customStyle="1" w:styleId="xl113">
    <w:name w:val="xl113"/>
    <w:basedOn w:val="a0"/>
    <w:uiPriority w:val="99"/>
    <w:pPr>
      <w:pBdr>
        <w:top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14">
    <w:name w:val="xl114"/>
    <w:basedOn w:val="a0"/>
    <w:uiPriority w:val="99"/>
    <w:pPr>
      <w:pBdr>
        <w:left w:val="single" w:sz="4" w:space="0" w:color="000000"/>
      </w:pBdr>
      <w:spacing w:before="100" w:beforeAutospacing="1" w:after="100" w:afterAutospacing="1"/>
      <w:ind w:firstLine="0"/>
      <w:jc w:val="right"/>
    </w:pPr>
    <w:rPr>
      <w:rFonts w:ascii="Arial" w:hAnsi="Arial" w:cs="Arial"/>
      <w:b/>
      <w:bCs/>
      <w:lang w:eastAsia="ru-RU"/>
    </w:rPr>
  </w:style>
  <w:style w:type="paragraph" w:customStyle="1" w:styleId="xl115">
    <w:name w:val="xl115"/>
    <w:basedOn w:val="a0"/>
    <w:uiPriority w:val="99"/>
    <w:pPr>
      <w:pBdr>
        <w:left w:val="single" w:sz="4" w:space="0" w:color="000000"/>
      </w:pBdr>
      <w:spacing w:before="100" w:beforeAutospacing="1" w:after="100" w:afterAutospacing="1"/>
      <w:ind w:firstLine="0"/>
    </w:pPr>
    <w:rPr>
      <w:rFonts w:ascii="Arial" w:hAnsi="Arial" w:cs="Arial"/>
      <w:lang w:eastAsia="ru-RU"/>
    </w:rPr>
  </w:style>
  <w:style w:type="paragraph" w:customStyle="1" w:styleId="xl116">
    <w:name w:val="xl116"/>
    <w:basedOn w:val="a0"/>
    <w:uiPriority w:val="99"/>
    <w:pPr>
      <w:spacing w:before="100" w:beforeAutospacing="1" w:after="100" w:afterAutospacing="1"/>
      <w:ind w:firstLine="0"/>
    </w:pPr>
    <w:rPr>
      <w:rFonts w:ascii="Arial" w:hAnsi="Arial" w:cs="Arial"/>
      <w:lang w:eastAsia="ru-RU"/>
    </w:rPr>
  </w:style>
  <w:style w:type="paragraph" w:customStyle="1" w:styleId="xl117">
    <w:name w:val="xl117"/>
    <w:basedOn w:val="a0"/>
    <w:uiPriority w:val="99"/>
    <w:pPr>
      <w:pBdr>
        <w:right w:val="single" w:sz="4" w:space="0" w:color="000000"/>
      </w:pBdr>
      <w:spacing w:before="100" w:beforeAutospacing="1" w:after="100" w:afterAutospacing="1"/>
      <w:ind w:firstLine="0"/>
    </w:pPr>
    <w:rPr>
      <w:rFonts w:ascii="Arial" w:hAnsi="Arial" w:cs="Arial"/>
      <w:lang w:eastAsia="ru-RU"/>
    </w:rPr>
  </w:style>
  <w:style w:type="paragraph" w:customStyle="1" w:styleId="xl118">
    <w:name w:val="xl118"/>
    <w:basedOn w:val="a0"/>
    <w:uiPriority w:val="99"/>
    <w:pPr>
      <w:pBdr>
        <w:left w:val="single" w:sz="4" w:space="0" w:color="000000"/>
      </w:pBdr>
      <w:spacing w:before="100" w:beforeAutospacing="1" w:after="100" w:afterAutospacing="1"/>
      <w:ind w:firstLine="0"/>
    </w:pPr>
    <w:rPr>
      <w:rFonts w:ascii="Arial" w:hAnsi="Arial" w:cs="Arial"/>
      <w:lang w:eastAsia="ru-RU"/>
    </w:rPr>
  </w:style>
  <w:style w:type="paragraph" w:customStyle="1" w:styleId="xl119">
    <w:name w:val="xl119"/>
    <w:basedOn w:val="a0"/>
    <w:uiPriority w:val="99"/>
    <w:pPr>
      <w:pBdr>
        <w:top w:val="single" w:sz="4" w:space="0" w:color="000000"/>
        <w:left w:val="single" w:sz="4" w:space="0" w:color="000000"/>
        <w:bottom w:val="single" w:sz="4" w:space="0" w:color="000000"/>
      </w:pBdr>
      <w:spacing w:before="100" w:beforeAutospacing="1" w:after="100" w:afterAutospacing="1"/>
      <w:ind w:firstLine="0"/>
    </w:pPr>
    <w:rPr>
      <w:rFonts w:ascii="Arial" w:hAnsi="Arial" w:cs="Arial"/>
      <w:lang w:eastAsia="ru-RU"/>
    </w:rPr>
  </w:style>
  <w:style w:type="paragraph" w:customStyle="1" w:styleId="xl120">
    <w:name w:val="xl120"/>
    <w:basedOn w:val="a0"/>
    <w:uiPriority w:val="99"/>
    <w:pPr>
      <w:pBdr>
        <w:top w:val="single" w:sz="4" w:space="0" w:color="000000"/>
        <w:bottom w:val="single" w:sz="4" w:space="0" w:color="000000"/>
      </w:pBdr>
      <w:spacing w:before="100" w:beforeAutospacing="1" w:after="100" w:afterAutospacing="1"/>
      <w:ind w:firstLine="0"/>
    </w:pPr>
    <w:rPr>
      <w:rFonts w:ascii="Arial" w:hAnsi="Arial" w:cs="Arial"/>
      <w:lang w:eastAsia="ru-RU"/>
    </w:rPr>
  </w:style>
  <w:style w:type="paragraph" w:customStyle="1" w:styleId="xl121">
    <w:name w:val="xl121"/>
    <w:basedOn w:val="a0"/>
    <w:uiPriority w:val="99"/>
    <w:pPr>
      <w:pBdr>
        <w:top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22">
    <w:name w:val="xl122"/>
    <w:basedOn w:val="a0"/>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i/>
      <w:iCs/>
      <w:lang w:eastAsia="ru-RU"/>
    </w:rPr>
  </w:style>
  <w:style w:type="paragraph" w:customStyle="1" w:styleId="xl123">
    <w:name w:val="xl123"/>
    <w:basedOn w:val="a0"/>
    <w:uiPriority w:val="99"/>
    <w:pPr>
      <w:pBdr>
        <w:left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lang w:eastAsia="ru-RU"/>
    </w:rPr>
  </w:style>
  <w:style w:type="paragraph" w:customStyle="1" w:styleId="xl124">
    <w:name w:val="xl124"/>
    <w:basedOn w:val="a0"/>
    <w:uiPriority w:val="99"/>
    <w:pPr>
      <w:pBdr>
        <w:top w:val="single" w:sz="4" w:space="0" w:color="000000"/>
        <w:left w:val="single" w:sz="4" w:space="0" w:color="000000"/>
        <w:bottom w:val="single" w:sz="4" w:space="0" w:color="000000"/>
      </w:pBdr>
      <w:spacing w:before="100" w:beforeAutospacing="1" w:after="100" w:afterAutospacing="1"/>
      <w:ind w:firstLine="0"/>
      <w:jc w:val="center"/>
    </w:pPr>
    <w:rPr>
      <w:rFonts w:ascii="Arial" w:hAnsi="Arial" w:cs="Arial"/>
      <w:lang w:eastAsia="ru-RU"/>
    </w:rPr>
  </w:style>
  <w:style w:type="paragraph" w:customStyle="1" w:styleId="xl125">
    <w:name w:val="xl125"/>
    <w:basedOn w:val="a0"/>
    <w:uiPriority w:val="99"/>
    <w:pPr>
      <w:pBdr>
        <w:top w:val="single" w:sz="4" w:space="0" w:color="000000"/>
        <w:bottom w:val="single" w:sz="4" w:space="0" w:color="000000"/>
      </w:pBdr>
      <w:spacing w:before="100" w:beforeAutospacing="1" w:after="100" w:afterAutospacing="1"/>
      <w:ind w:firstLine="0"/>
      <w:jc w:val="center"/>
    </w:pPr>
    <w:rPr>
      <w:rFonts w:ascii="Arial" w:hAnsi="Arial" w:cs="Arial"/>
      <w:lang w:eastAsia="ru-RU"/>
    </w:rPr>
  </w:style>
  <w:style w:type="paragraph" w:customStyle="1" w:styleId="xl126">
    <w:name w:val="xl126"/>
    <w:basedOn w:val="a0"/>
    <w:uiPriority w:val="99"/>
    <w:pPr>
      <w:pBdr>
        <w:top w:val="single" w:sz="4" w:space="0" w:color="000000"/>
        <w:bottom w:val="single" w:sz="4" w:space="0" w:color="000000"/>
        <w:right w:val="single" w:sz="4" w:space="0" w:color="000000"/>
      </w:pBdr>
      <w:spacing w:before="100" w:beforeAutospacing="1" w:after="100" w:afterAutospacing="1"/>
      <w:ind w:firstLine="0"/>
      <w:jc w:val="center"/>
    </w:pPr>
    <w:rPr>
      <w:rFonts w:ascii="Arial" w:hAnsi="Arial" w:cs="Arial"/>
      <w:lang w:eastAsia="ru-RU"/>
    </w:rPr>
  </w:style>
  <w:style w:type="paragraph" w:customStyle="1" w:styleId="xl127">
    <w:name w:val="xl127"/>
    <w:basedOn w:val="a0"/>
    <w:uiPriority w:val="99"/>
    <w:pPr>
      <w:pBdr>
        <w:top w:val="single" w:sz="8" w:space="0" w:color="000000"/>
        <w:left w:val="single" w:sz="8" w:space="0" w:color="000000"/>
        <w:bottom w:val="single" w:sz="4" w:space="0" w:color="000000"/>
        <w:right w:val="single" w:sz="8" w:space="0" w:color="000000"/>
      </w:pBdr>
      <w:spacing w:before="100" w:beforeAutospacing="1" w:after="100" w:afterAutospacing="1"/>
      <w:ind w:firstLine="0"/>
      <w:jc w:val="center"/>
    </w:pPr>
    <w:rPr>
      <w:rFonts w:ascii="Arial" w:hAnsi="Arial" w:cs="Arial"/>
      <w:i/>
      <w:iCs/>
      <w:lang w:eastAsia="ru-RU"/>
    </w:rPr>
  </w:style>
  <w:style w:type="paragraph" w:customStyle="1" w:styleId="xl128">
    <w:name w:val="xl128"/>
    <w:basedOn w:val="a0"/>
    <w:uiPriority w:val="99"/>
    <w:pPr>
      <w:pBdr>
        <w:top w:val="single" w:sz="4" w:space="0" w:color="000000"/>
        <w:left w:val="single" w:sz="8" w:space="0" w:color="000000"/>
        <w:bottom w:val="single" w:sz="4" w:space="0" w:color="000000"/>
        <w:right w:val="single" w:sz="8" w:space="0" w:color="000000"/>
      </w:pBdr>
      <w:spacing w:before="100" w:beforeAutospacing="1" w:after="100" w:afterAutospacing="1"/>
      <w:ind w:firstLine="0"/>
      <w:jc w:val="center"/>
    </w:pPr>
    <w:rPr>
      <w:rFonts w:ascii="Arial" w:hAnsi="Arial" w:cs="Arial"/>
      <w:i/>
      <w:iCs/>
      <w:lang w:eastAsia="ru-RU"/>
    </w:rPr>
  </w:style>
  <w:style w:type="paragraph" w:customStyle="1" w:styleId="xl129">
    <w:name w:val="xl129"/>
    <w:basedOn w:val="a0"/>
    <w:uiPriority w:val="99"/>
    <w:pPr>
      <w:pBdr>
        <w:top w:val="single" w:sz="4" w:space="0" w:color="000000"/>
        <w:left w:val="single" w:sz="8" w:space="0" w:color="000000"/>
        <w:bottom w:val="single" w:sz="8" w:space="0" w:color="000000"/>
        <w:right w:val="single" w:sz="8" w:space="0" w:color="000000"/>
      </w:pBdr>
      <w:spacing w:before="100" w:beforeAutospacing="1" w:after="100" w:afterAutospacing="1"/>
      <w:ind w:firstLine="0"/>
      <w:jc w:val="center"/>
    </w:pPr>
    <w:rPr>
      <w:rFonts w:ascii="Arial" w:hAnsi="Arial" w:cs="Arial"/>
      <w:i/>
      <w:iCs/>
      <w:lang w:eastAsia="ru-RU"/>
    </w:rPr>
  </w:style>
  <w:style w:type="paragraph" w:customStyle="1" w:styleId="xl130">
    <w:name w:val="xl130"/>
    <w:basedOn w:val="a0"/>
    <w:uiPriority w:val="99"/>
    <w:pPr>
      <w:pBdr>
        <w:top w:val="single" w:sz="8" w:space="0" w:color="000000"/>
        <w:left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131">
    <w:name w:val="xl131"/>
    <w:basedOn w:val="a0"/>
    <w:uiPriority w:val="99"/>
    <w:pPr>
      <w:spacing w:before="100" w:beforeAutospacing="1" w:after="100" w:afterAutospacing="1"/>
      <w:ind w:firstLine="0"/>
    </w:pPr>
    <w:rPr>
      <w:rFonts w:ascii="Arial" w:hAnsi="Arial" w:cs="Arial"/>
      <w:b/>
      <w:bCs/>
      <w:lang w:eastAsia="ru-RU"/>
    </w:rPr>
  </w:style>
  <w:style w:type="paragraph" w:customStyle="1" w:styleId="xl132">
    <w:name w:val="xl132"/>
    <w:basedOn w:val="a0"/>
    <w:uiPriority w:val="99"/>
    <w:pPr>
      <w:pBdr>
        <w:bottom w:val="single" w:sz="8" w:space="0" w:color="000000"/>
      </w:pBdr>
      <w:spacing w:before="100" w:beforeAutospacing="1" w:after="100" w:afterAutospacing="1"/>
      <w:ind w:firstLine="0"/>
      <w:jc w:val="center"/>
    </w:pPr>
    <w:rPr>
      <w:rFonts w:ascii="Arial" w:hAnsi="Arial" w:cs="Arial"/>
      <w:lang w:eastAsia="ru-RU"/>
    </w:rPr>
  </w:style>
  <w:style w:type="paragraph" w:customStyle="1" w:styleId="xl133">
    <w:name w:val="xl133"/>
    <w:basedOn w:val="a0"/>
    <w:uiPriority w:val="99"/>
    <w:pPr>
      <w:pBdr>
        <w:top w:val="single" w:sz="8" w:space="0" w:color="000000"/>
        <w:left w:val="single" w:sz="8" w:space="0" w:color="000000"/>
        <w:bottom w:val="single" w:sz="8" w:space="0" w:color="000000"/>
      </w:pBdr>
      <w:spacing w:before="100" w:beforeAutospacing="1" w:after="100" w:afterAutospacing="1"/>
      <w:ind w:firstLine="0"/>
      <w:jc w:val="center"/>
    </w:pPr>
    <w:rPr>
      <w:rFonts w:ascii="Arial" w:hAnsi="Arial" w:cs="Arial"/>
      <w:lang w:eastAsia="ru-RU"/>
    </w:rPr>
  </w:style>
  <w:style w:type="paragraph" w:customStyle="1" w:styleId="xl134">
    <w:name w:val="xl134"/>
    <w:basedOn w:val="a0"/>
    <w:uiPriority w:val="99"/>
    <w:pPr>
      <w:pBdr>
        <w:top w:val="single" w:sz="8" w:space="0" w:color="000000"/>
        <w:bottom w:val="single" w:sz="8" w:space="0" w:color="000000"/>
      </w:pBdr>
      <w:spacing w:before="100" w:beforeAutospacing="1" w:after="100" w:afterAutospacing="1"/>
      <w:ind w:firstLine="0"/>
      <w:jc w:val="center"/>
    </w:pPr>
    <w:rPr>
      <w:rFonts w:ascii="Arial" w:hAnsi="Arial" w:cs="Arial"/>
      <w:lang w:eastAsia="ru-RU"/>
    </w:rPr>
  </w:style>
  <w:style w:type="paragraph" w:customStyle="1" w:styleId="xl135">
    <w:name w:val="xl135"/>
    <w:basedOn w:val="a0"/>
    <w:uiPriority w:val="99"/>
    <w:pPr>
      <w:pBdr>
        <w:top w:val="single" w:sz="8" w:space="0" w:color="000000"/>
        <w:bottom w:val="single" w:sz="8" w:space="0" w:color="000000"/>
        <w:right w:val="single" w:sz="8" w:space="0" w:color="000000"/>
      </w:pBdr>
      <w:spacing w:before="100" w:beforeAutospacing="1" w:after="100" w:afterAutospacing="1"/>
      <w:ind w:firstLine="0"/>
      <w:jc w:val="center"/>
    </w:pPr>
    <w:rPr>
      <w:rFonts w:ascii="Arial" w:hAnsi="Arial" w:cs="Arial"/>
      <w:lang w:eastAsia="ru-RU"/>
    </w:rPr>
  </w:style>
  <w:style w:type="paragraph" w:customStyle="1" w:styleId="xl136">
    <w:name w:val="xl136"/>
    <w:basedOn w:val="a0"/>
    <w:uiPriority w:val="99"/>
    <w:pPr>
      <w:pBdr>
        <w:top w:val="single" w:sz="4" w:space="0" w:color="000000"/>
        <w:left w:val="single" w:sz="4" w:space="0" w:color="000000"/>
        <w:bottom w:val="single" w:sz="4" w:space="0" w:color="000000"/>
      </w:pBdr>
      <w:spacing w:before="100" w:beforeAutospacing="1" w:after="100" w:afterAutospacing="1"/>
      <w:ind w:firstLine="0"/>
    </w:pPr>
    <w:rPr>
      <w:rFonts w:ascii="Arial" w:hAnsi="Arial" w:cs="Arial"/>
      <w:lang w:eastAsia="ru-RU"/>
    </w:rPr>
  </w:style>
  <w:style w:type="paragraph" w:customStyle="1" w:styleId="xl137">
    <w:name w:val="xl137"/>
    <w:basedOn w:val="a0"/>
    <w:uiPriority w:val="99"/>
    <w:pPr>
      <w:pBdr>
        <w:top w:val="single" w:sz="4" w:space="0" w:color="000000"/>
        <w:bottom w:val="single" w:sz="4" w:space="0" w:color="000000"/>
      </w:pBdr>
      <w:spacing w:before="100" w:beforeAutospacing="1" w:after="100" w:afterAutospacing="1"/>
      <w:ind w:firstLine="0"/>
    </w:pPr>
    <w:rPr>
      <w:rFonts w:ascii="Arial" w:hAnsi="Arial" w:cs="Arial"/>
      <w:lang w:eastAsia="ru-RU"/>
    </w:rPr>
  </w:style>
  <w:style w:type="paragraph" w:customStyle="1" w:styleId="xl138">
    <w:name w:val="xl138"/>
    <w:basedOn w:val="a0"/>
    <w:uiPriority w:val="99"/>
    <w:pPr>
      <w:pBdr>
        <w:top w:val="single" w:sz="4" w:space="0" w:color="000000"/>
        <w:bottom w:val="single" w:sz="4" w:space="0" w:color="000000"/>
        <w:right w:val="single" w:sz="4" w:space="0" w:color="000000"/>
      </w:pBdr>
      <w:spacing w:before="100" w:beforeAutospacing="1" w:after="100" w:afterAutospacing="1"/>
      <w:ind w:firstLine="0"/>
    </w:pPr>
    <w:rPr>
      <w:rFonts w:ascii="Arial" w:hAnsi="Arial" w:cs="Arial"/>
      <w:lang w:eastAsia="ru-RU"/>
    </w:rPr>
  </w:style>
  <w:style w:type="paragraph" w:customStyle="1" w:styleId="xl139">
    <w:name w:val="xl139"/>
    <w:basedOn w:val="a0"/>
    <w:uiPriority w:val="99"/>
    <w:pPr>
      <w:spacing w:before="100" w:beforeAutospacing="1" w:after="100" w:afterAutospacing="1"/>
      <w:ind w:firstLine="0"/>
    </w:pPr>
    <w:rPr>
      <w:rFonts w:ascii="Arial" w:hAnsi="Arial" w:cs="Arial"/>
      <w:lang w:eastAsia="ru-RU"/>
    </w:rPr>
  </w:style>
  <w:style w:type="paragraph" w:customStyle="1" w:styleId="xl140">
    <w:name w:val="xl140"/>
    <w:basedOn w:val="a0"/>
    <w:uiPriority w:val="99"/>
    <w:pPr>
      <w:pBdr>
        <w:right w:val="single" w:sz="4" w:space="0" w:color="000000"/>
      </w:pBdr>
      <w:spacing w:before="100" w:beforeAutospacing="1" w:after="100" w:afterAutospacing="1"/>
      <w:ind w:firstLine="0"/>
    </w:pPr>
    <w:rPr>
      <w:rFonts w:ascii="Arial" w:hAnsi="Arial" w:cs="Arial"/>
      <w:lang w:eastAsia="ru-RU"/>
    </w:rPr>
  </w:style>
  <w:style w:type="paragraph" w:customStyle="1" w:styleId="xl141">
    <w:name w:val="xl141"/>
    <w:basedOn w:val="a0"/>
    <w:uiPriority w:val="99"/>
    <w:pPr>
      <w:pBdr>
        <w:top w:val="single" w:sz="4" w:space="0" w:color="000000"/>
        <w:bottom w:val="single" w:sz="4" w:space="0" w:color="000000"/>
      </w:pBdr>
      <w:spacing w:before="100" w:beforeAutospacing="1" w:after="100" w:afterAutospacing="1"/>
      <w:ind w:firstLine="0"/>
    </w:pPr>
    <w:rPr>
      <w:lang w:eastAsia="ru-RU"/>
    </w:rPr>
  </w:style>
  <w:style w:type="paragraph" w:customStyle="1" w:styleId="xl142">
    <w:name w:val="xl142"/>
    <w:basedOn w:val="a0"/>
    <w:uiPriority w:val="99"/>
    <w:pPr>
      <w:pBdr>
        <w:top w:val="single" w:sz="4" w:space="0" w:color="000000"/>
        <w:bottom w:val="single" w:sz="4" w:space="0" w:color="000000"/>
        <w:right w:val="single" w:sz="4" w:space="0" w:color="000000"/>
      </w:pBdr>
      <w:spacing w:before="100" w:beforeAutospacing="1" w:after="100" w:afterAutospacing="1"/>
      <w:ind w:firstLine="0"/>
    </w:pPr>
    <w:rPr>
      <w:lang w:eastAsia="ru-RU"/>
    </w:rPr>
  </w:style>
  <w:style w:type="paragraph" w:customStyle="1" w:styleId="xl65">
    <w:name w:val="xl65"/>
    <w:basedOn w:val="a0"/>
    <w:uiPriority w:val="99"/>
    <w:pPr>
      <w:spacing w:before="100" w:beforeAutospacing="1" w:after="100" w:afterAutospacing="1"/>
      <w:ind w:firstLine="0"/>
    </w:pPr>
    <w:rPr>
      <w:lang w:eastAsia="ru-RU"/>
    </w:rPr>
  </w:style>
  <w:style w:type="paragraph" w:customStyle="1" w:styleId="xl143">
    <w:name w:val="xl143"/>
    <w:basedOn w:val="a0"/>
    <w:uiPriority w:val="99"/>
    <w:pPr>
      <w:pBdr>
        <w:top w:val="single" w:sz="8" w:space="0" w:color="000000"/>
        <w:bottom w:val="single" w:sz="8" w:space="0" w:color="000000"/>
      </w:pBdr>
      <w:shd w:val="clear" w:color="000000" w:fill="C0C0C0"/>
      <w:spacing w:before="100" w:beforeAutospacing="1" w:after="100" w:afterAutospacing="1"/>
      <w:ind w:firstLine="0"/>
      <w:jc w:val="center"/>
    </w:pPr>
    <w:rPr>
      <w:lang w:eastAsia="ru-RU"/>
    </w:rPr>
  </w:style>
  <w:style w:type="paragraph" w:customStyle="1" w:styleId="xl144">
    <w:name w:val="xl144"/>
    <w:basedOn w:val="a0"/>
    <w:uiPriority w:val="99"/>
    <w:pPr>
      <w:spacing w:before="100" w:beforeAutospacing="1" w:after="100" w:afterAutospacing="1"/>
      <w:ind w:firstLine="0"/>
      <w:jc w:val="center"/>
    </w:pPr>
    <w:rPr>
      <w:lang w:eastAsia="ru-RU"/>
    </w:rPr>
  </w:style>
  <w:style w:type="paragraph" w:customStyle="1" w:styleId="xl145">
    <w:name w:val="xl145"/>
    <w:basedOn w:val="a0"/>
    <w:uiPriority w:val="99"/>
    <w:pPr>
      <w:pBdr>
        <w:top w:val="single" w:sz="8" w:space="0" w:color="000000"/>
        <w:left w:val="single" w:sz="8" w:space="0" w:color="000000"/>
      </w:pBdr>
      <w:shd w:val="clear" w:color="000000" w:fill="C0C0C0"/>
      <w:spacing w:before="100" w:beforeAutospacing="1" w:after="100" w:afterAutospacing="1"/>
      <w:ind w:firstLine="0"/>
      <w:jc w:val="center"/>
    </w:pPr>
    <w:rPr>
      <w:lang w:eastAsia="ru-RU"/>
    </w:rPr>
  </w:style>
  <w:style w:type="paragraph" w:customStyle="1" w:styleId="xl146">
    <w:name w:val="xl146"/>
    <w:basedOn w:val="a0"/>
    <w:uiPriority w:val="99"/>
    <w:pPr>
      <w:pBdr>
        <w:top w:val="single" w:sz="8" w:space="0" w:color="000000"/>
      </w:pBdr>
      <w:shd w:val="clear" w:color="000000" w:fill="C0C0C0"/>
      <w:spacing w:before="100" w:beforeAutospacing="1" w:after="100" w:afterAutospacing="1"/>
      <w:ind w:firstLine="0"/>
      <w:jc w:val="center"/>
    </w:pPr>
    <w:rPr>
      <w:lang w:eastAsia="ru-RU"/>
    </w:rPr>
  </w:style>
  <w:style w:type="paragraph" w:customStyle="1" w:styleId="xl147">
    <w:name w:val="xl147"/>
    <w:basedOn w:val="a0"/>
    <w:uiPriority w:val="99"/>
    <w:pPr>
      <w:pBdr>
        <w:top w:val="single" w:sz="8" w:space="0" w:color="000000"/>
        <w:right w:val="single" w:sz="8" w:space="0" w:color="000000"/>
      </w:pBdr>
      <w:shd w:val="clear" w:color="000000" w:fill="C0C0C0"/>
      <w:spacing w:before="100" w:beforeAutospacing="1" w:after="100" w:afterAutospacing="1"/>
      <w:ind w:firstLine="0"/>
      <w:jc w:val="center"/>
    </w:pPr>
    <w:rPr>
      <w:lang w:eastAsia="ru-RU"/>
    </w:rPr>
  </w:style>
  <w:style w:type="paragraph" w:customStyle="1" w:styleId="xl148">
    <w:name w:val="xl148"/>
    <w:basedOn w:val="a0"/>
    <w:uiPriority w:val="99"/>
    <w:pPr>
      <w:pBdr>
        <w:left w:val="single" w:sz="8" w:space="0" w:color="000000"/>
        <w:bottom w:val="single" w:sz="8" w:space="0" w:color="000000"/>
      </w:pBdr>
      <w:shd w:val="clear" w:color="000000" w:fill="C0C0C0"/>
      <w:spacing w:before="100" w:beforeAutospacing="1" w:after="100" w:afterAutospacing="1"/>
      <w:ind w:firstLine="0"/>
      <w:jc w:val="center"/>
    </w:pPr>
    <w:rPr>
      <w:lang w:eastAsia="ru-RU"/>
    </w:rPr>
  </w:style>
  <w:style w:type="paragraph" w:customStyle="1" w:styleId="xl149">
    <w:name w:val="xl149"/>
    <w:basedOn w:val="a0"/>
    <w:uiPriority w:val="99"/>
    <w:pPr>
      <w:pBdr>
        <w:bottom w:val="single" w:sz="8" w:space="0" w:color="000000"/>
      </w:pBdr>
      <w:shd w:val="clear" w:color="000000" w:fill="C0C0C0"/>
      <w:spacing w:before="100" w:beforeAutospacing="1" w:after="100" w:afterAutospacing="1"/>
      <w:ind w:firstLine="0"/>
      <w:jc w:val="center"/>
    </w:pPr>
    <w:rPr>
      <w:lang w:eastAsia="ru-RU"/>
    </w:rPr>
  </w:style>
  <w:style w:type="paragraph" w:customStyle="1" w:styleId="xl150">
    <w:name w:val="xl150"/>
    <w:basedOn w:val="a0"/>
    <w:uiPriority w:val="99"/>
    <w:pPr>
      <w:pBdr>
        <w:bottom w:val="single" w:sz="8" w:space="0" w:color="000000"/>
        <w:right w:val="single" w:sz="8" w:space="0" w:color="000000"/>
      </w:pBdr>
      <w:shd w:val="clear" w:color="000000" w:fill="C0C0C0"/>
      <w:spacing w:before="100" w:beforeAutospacing="1" w:after="100" w:afterAutospacing="1"/>
      <w:ind w:firstLine="0"/>
      <w:jc w:val="center"/>
    </w:pPr>
    <w:rPr>
      <w:lang w:eastAsia="ru-RU"/>
    </w:rPr>
  </w:style>
  <w:style w:type="paragraph" w:customStyle="1" w:styleId="xl151">
    <w:name w:val="xl151"/>
    <w:basedOn w:val="a0"/>
    <w:uiPriority w:val="99"/>
    <w:pPr>
      <w:pBdr>
        <w:top w:val="single" w:sz="4" w:space="0" w:color="000000"/>
        <w:left w:val="single" w:sz="4" w:space="0" w:color="000000"/>
      </w:pBdr>
      <w:spacing w:before="100" w:beforeAutospacing="1" w:after="100" w:afterAutospacing="1"/>
      <w:ind w:firstLine="0"/>
      <w:jc w:val="center"/>
    </w:pPr>
    <w:rPr>
      <w:lang w:eastAsia="ru-RU"/>
    </w:rPr>
  </w:style>
  <w:style w:type="paragraph" w:customStyle="1" w:styleId="xl152">
    <w:name w:val="xl152"/>
    <w:basedOn w:val="a0"/>
    <w:uiPriority w:val="99"/>
    <w:pPr>
      <w:pBdr>
        <w:top w:val="single" w:sz="4" w:space="0" w:color="000000"/>
      </w:pBdr>
      <w:spacing w:before="100" w:beforeAutospacing="1" w:after="100" w:afterAutospacing="1"/>
      <w:ind w:firstLine="0"/>
      <w:jc w:val="center"/>
    </w:pPr>
    <w:rPr>
      <w:lang w:eastAsia="ru-RU"/>
    </w:rPr>
  </w:style>
  <w:style w:type="paragraph" w:customStyle="1" w:styleId="xl153">
    <w:name w:val="xl153"/>
    <w:basedOn w:val="a0"/>
    <w:uiPriority w:val="99"/>
    <w:pPr>
      <w:pBdr>
        <w:left w:val="single" w:sz="4" w:space="0" w:color="000000"/>
        <w:bottom w:val="single" w:sz="4" w:space="0" w:color="000000"/>
      </w:pBdr>
      <w:spacing w:before="100" w:beforeAutospacing="1" w:after="100" w:afterAutospacing="1"/>
      <w:ind w:firstLine="0"/>
      <w:jc w:val="center"/>
    </w:pPr>
    <w:rPr>
      <w:lang w:eastAsia="ru-RU"/>
    </w:rPr>
  </w:style>
  <w:style w:type="paragraph" w:customStyle="1" w:styleId="xl154">
    <w:name w:val="xl154"/>
    <w:basedOn w:val="a0"/>
    <w:uiPriority w:val="99"/>
    <w:pPr>
      <w:pBdr>
        <w:bottom w:val="single" w:sz="4" w:space="0" w:color="000000"/>
      </w:pBdr>
      <w:spacing w:before="100" w:beforeAutospacing="1" w:after="100" w:afterAutospacing="1"/>
      <w:ind w:firstLine="0"/>
      <w:jc w:val="center"/>
    </w:pPr>
    <w:rPr>
      <w:lang w:eastAsia="ru-RU"/>
    </w:rPr>
  </w:style>
  <w:style w:type="paragraph" w:customStyle="1" w:styleId="xl155">
    <w:name w:val="xl155"/>
    <w:basedOn w:val="a0"/>
    <w:uiPriority w:val="99"/>
    <w:pPr>
      <w:pBdr>
        <w:top w:val="single" w:sz="8" w:space="0" w:color="000000"/>
        <w:left w:val="single" w:sz="8" w:space="0" w:color="000000"/>
        <w:bottom w:val="single" w:sz="8" w:space="0" w:color="000000"/>
      </w:pBdr>
      <w:shd w:val="clear" w:color="000000" w:fill="C0C0C0"/>
      <w:spacing w:before="100" w:beforeAutospacing="1" w:after="100" w:afterAutospacing="1"/>
      <w:ind w:firstLine="0"/>
      <w:jc w:val="center"/>
    </w:pPr>
    <w:rPr>
      <w:lang w:eastAsia="ru-RU"/>
    </w:rPr>
  </w:style>
  <w:style w:type="paragraph" w:customStyle="1" w:styleId="xl156">
    <w:name w:val="xl156"/>
    <w:basedOn w:val="a0"/>
    <w:uiPriority w:val="99"/>
    <w:pPr>
      <w:pBdr>
        <w:top w:val="single" w:sz="8" w:space="0" w:color="000000"/>
        <w:bottom w:val="single" w:sz="8" w:space="0" w:color="000000"/>
      </w:pBdr>
      <w:shd w:val="clear" w:color="000000" w:fill="C0C0C0"/>
      <w:spacing w:before="100" w:beforeAutospacing="1" w:after="100" w:afterAutospacing="1"/>
      <w:ind w:firstLine="0"/>
      <w:jc w:val="center"/>
    </w:pPr>
    <w:rPr>
      <w:lang w:eastAsia="ru-RU"/>
    </w:rPr>
  </w:style>
  <w:style w:type="paragraph" w:customStyle="1" w:styleId="xl157">
    <w:name w:val="xl157"/>
    <w:basedOn w:val="a0"/>
    <w:uiPriority w:val="99"/>
    <w:pPr>
      <w:pBdr>
        <w:top w:val="single" w:sz="8" w:space="0" w:color="000000"/>
        <w:bottom w:val="single" w:sz="8" w:space="0" w:color="000000"/>
        <w:right w:val="single" w:sz="8" w:space="0" w:color="000000"/>
      </w:pBdr>
      <w:shd w:val="clear" w:color="000000" w:fill="C0C0C0"/>
      <w:spacing w:before="100" w:beforeAutospacing="1" w:after="100" w:afterAutospacing="1"/>
      <w:ind w:firstLine="0"/>
      <w:jc w:val="center"/>
    </w:pPr>
    <w:rPr>
      <w:lang w:eastAsia="ru-RU"/>
    </w:rPr>
  </w:style>
  <w:style w:type="paragraph" w:customStyle="1" w:styleId="xl158">
    <w:name w:val="xl158"/>
    <w:basedOn w:val="a0"/>
    <w:uiPriority w:val="99"/>
    <w:pPr>
      <w:pBdr>
        <w:top w:val="single" w:sz="8" w:space="0" w:color="000000"/>
        <w:left w:val="single" w:sz="4" w:space="0" w:color="000000"/>
        <w:bottom w:val="single" w:sz="4" w:space="0" w:color="000000"/>
      </w:pBdr>
      <w:spacing w:before="100" w:beforeAutospacing="1" w:after="100" w:afterAutospacing="1"/>
      <w:ind w:firstLine="0"/>
      <w:jc w:val="center"/>
    </w:pPr>
    <w:rPr>
      <w:lang w:eastAsia="ru-RU"/>
    </w:rPr>
  </w:style>
  <w:style w:type="paragraph" w:customStyle="1" w:styleId="xl159">
    <w:name w:val="xl159"/>
    <w:basedOn w:val="a0"/>
    <w:uiPriority w:val="99"/>
    <w:pPr>
      <w:pBdr>
        <w:top w:val="single" w:sz="8" w:space="0" w:color="000000"/>
        <w:bottom w:val="single" w:sz="4" w:space="0" w:color="000000"/>
      </w:pBdr>
      <w:spacing w:before="100" w:beforeAutospacing="1" w:after="100" w:afterAutospacing="1"/>
      <w:ind w:firstLine="0"/>
      <w:jc w:val="center"/>
    </w:pPr>
    <w:rPr>
      <w:lang w:eastAsia="ru-RU"/>
    </w:rPr>
  </w:style>
  <w:style w:type="paragraph" w:customStyle="1" w:styleId="xl160">
    <w:name w:val="xl160"/>
    <w:basedOn w:val="a0"/>
    <w:uiPriority w:val="99"/>
    <w:pPr>
      <w:pBdr>
        <w:top w:val="single" w:sz="8" w:space="0" w:color="000000"/>
        <w:bottom w:val="single" w:sz="4" w:space="0" w:color="000000"/>
        <w:right w:val="single" w:sz="4" w:space="0" w:color="000000"/>
      </w:pBdr>
      <w:spacing w:before="100" w:beforeAutospacing="1" w:after="100" w:afterAutospacing="1"/>
      <w:ind w:firstLine="0"/>
      <w:jc w:val="center"/>
    </w:pPr>
    <w:rPr>
      <w:lang w:eastAsia="ru-RU"/>
    </w:rPr>
  </w:style>
  <w:style w:type="paragraph" w:customStyle="1" w:styleId="xl161">
    <w:name w:val="xl161"/>
    <w:basedOn w:val="a0"/>
    <w:uiPriority w:val="99"/>
    <w:pPr>
      <w:pBdr>
        <w:top w:val="single" w:sz="4" w:space="0" w:color="000000"/>
        <w:bottom w:val="single" w:sz="4" w:space="0" w:color="000000"/>
      </w:pBdr>
      <w:spacing w:before="100" w:beforeAutospacing="1" w:after="100" w:afterAutospacing="1"/>
      <w:ind w:firstLine="0"/>
    </w:pPr>
    <w:rPr>
      <w:lang w:eastAsia="ru-RU"/>
    </w:rPr>
  </w:style>
  <w:style w:type="paragraph" w:customStyle="1" w:styleId="xl162">
    <w:name w:val="xl162"/>
    <w:basedOn w:val="a0"/>
    <w:uiPriority w:val="99"/>
    <w:pPr>
      <w:pBdr>
        <w:top w:val="single" w:sz="4" w:space="0" w:color="000000"/>
        <w:bottom w:val="single" w:sz="4" w:space="0" w:color="000000"/>
      </w:pBdr>
      <w:spacing w:before="100" w:beforeAutospacing="1" w:after="100" w:afterAutospacing="1"/>
      <w:ind w:firstLine="0"/>
    </w:pPr>
    <w:rPr>
      <w:lang w:eastAsia="ru-RU"/>
    </w:rPr>
  </w:style>
  <w:style w:type="character" w:styleId="affc">
    <w:name w:val="line number"/>
    <w:basedOn w:val="a1"/>
    <w:uiPriority w:val="99"/>
    <w:semiHidden/>
  </w:style>
  <w:style w:type="character" w:customStyle="1" w:styleId="affd">
    <w:name w:val="Перечень Знак"/>
    <w:basedOn w:val="a1"/>
    <w:link w:val="affe"/>
    <w:uiPriority w:val="99"/>
  </w:style>
  <w:style w:type="paragraph" w:customStyle="1" w:styleId="affe">
    <w:name w:val="Перечень"/>
    <w:basedOn w:val="a0"/>
    <w:link w:val="affd"/>
    <w:uiPriority w:val="99"/>
    <w:qFormat/>
    <w:pPr>
      <w:ind w:firstLine="0"/>
      <w:jc w:val="both"/>
    </w:pPr>
    <w:rPr>
      <w:sz w:val="22"/>
      <w:szCs w:val="22"/>
    </w:rPr>
  </w:style>
  <w:style w:type="paragraph" w:customStyle="1" w:styleId="afff">
    <w:name w:val="Абзац"/>
    <w:basedOn w:val="a0"/>
    <w:link w:val="afff0"/>
    <w:qFormat/>
    <w:pPr>
      <w:jc w:val="both"/>
    </w:pPr>
    <w:rPr>
      <w:sz w:val="20"/>
      <w:szCs w:val="20"/>
      <w:lang w:eastAsia="ru-RU"/>
    </w:rPr>
  </w:style>
  <w:style w:type="character" w:customStyle="1" w:styleId="afff0">
    <w:name w:val="Абзац Знак"/>
    <w:link w:val="afff"/>
    <w:rPr>
      <w:rFonts w:ascii="Times New Roman" w:hAnsi="Times New Roman" w:cs="Times New Roman"/>
      <w:sz w:val="20"/>
      <w:szCs w:val="20"/>
    </w:rPr>
  </w:style>
  <w:style w:type="paragraph" w:customStyle="1" w:styleId="0">
    <w:name w:val="Заголовок 0"/>
    <w:basedOn w:val="a0"/>
    <w:uiPriority w:val="99"/>
    <w:pPr>
      <w:ind w:firstLine="0"/>
      <w:jc w:val="right"/>
      <w:outlineLvl w:val="0"/>
    </w:pPr>
    <w:rPr>
      <w:sz w:val="28"/>
      <w:szCs w:val="28"/>
      <w:lang w:eastAsia="ru-RU"/>
    </w:rPr>
  </w:style>
  <w:style w:type="paragraph" w:styleId="afff1">
    <w:name w:val="Revision"/>
    <w:hidden/>
    <w:uiPriority w:val="99"/>
    <w:semiHidden/>
    <w:rPr>
      <w:sz w:val="24"/>
      <w:szCs w:val="24"/>
      <w:lang w:eastAsia="en-US"/>
    </w:rPr>
  </w:style>
  <w:style w:type="character" w:customStyle="1" w:styleId="w">
    <w:name w:val="w"/>
    <w:basedOn w:val="a1"/>
    <w:uiPriority w:val="99"/>
  </w:style>
  <w:style w:type="character" w:customStyle="1" w:styleId="apple-converted-space">
    <w:name w:val="apple-converted-space"/>
    <w:basedOn w:val="a1"/>
    <w:uiPriority w:val="99"/>
  </w:style>
  <w:style w:type="paragraph" w:customStyle="1" w:styleId="ConsPlusTitle">
    <w:name w:val="ConsPlusTitle"/>
    <w:uiPriority w:val="99"/>
    <w:pPr>
      <w:widowControl w:val="0"/>
    </w:pPr>
    <w:rPr>
      <w:rFonts w:ascii="Calibri" w:hAnsi="Calibri" w:cs="Calibri"/>
      <w:b/>
      <w:bCs/>
    </w:rPr>
  </w:style>
  <w:style w:type="paragraph" w:customStyle="1" w:styleId="14">
    <w:name w:val="Абзац списка1"/>
    <w:basedOn w:val="a0"/>
    <w:uiPriority w:val="99"/>
    <w:qFormat/>
    <w:pPr>
      <w:ind w:left="720" w:firstLine="0"/>
      <w:jc w:val="both"/>
    </w:pPr>
    <w:rPr>
      <w:sz w:val="28"/>
      <w:szCs w:val="28"/>
    </w:rPr>
  </w:style>
  <w:style w:type="paragraph" w:customStyle="1" w:styleId="15">
    <w:name w:val="Перечень_1"/>
    <w:basedOn w:val="a0"/>
    <w:link w:val="16"/>
    <w:uiPriority w:val="99"/>
    <w:pPr>
      <w:tabs>
        <w:tab w:val="left" w:pos="993"/>
      </w:tabs>
      <w:jc w:val="both"/>
    </w:pPr>
    <w:rPr>
      <w:lang w:eastAsia="ru-RU"/>
    </w:rPr>
  </w:style>
  <w:style w:type="paragraph" w:styleId="afff2">
    <w:name w:val="Normal Indent"/>
    <w:basedOn w:val="a0"/>
    <w:uiPriority w:val="99"/>
    <w:pPr>
      <w:ind w:left="708" w:firstLine="0"/>
    </w:pPr>
    <w:rPr>
      <w:sz w:val="28"/>
      <w:szCs w:val="28"/>
    </w:rPr>
  </w:style>
  <w:style w:type="character" w:customStyle="1" w:styleId="16">
    <w:name w:val="Перечень_1 Знак"/>
    <w:link w:val="15"/>
    <w:uiPriority w:val="99"/>
    <w:rPr>
      <w:rFonts w:ascii="Times New Roman" w:hAnsi="Times New Roman" w:cs="Times New Roman"/>
      <w:sz w:val="24"/>
      <w:szCs w:val="24"/>
      <w:lang w:eastAsia="ru-RU"/>
    </w:rPr>
  </w:style>
  <w:style w:type="paragraph" w:customStyle="1" w:styleId="25">
    <w:name w:val="2_Перечень"/>
    <w:basedOn w:val="a0"/>
    <w:link w:val="26"/>
    <w:uiPriority w:val="99"/>
    <w:pPr>
      <w:widowControl w:val="0"/>
      <w:tabs>
        <w:tab w:val="num" w:pos="780"/>
      </w:tabs>
      <w:ind w:left="1134" w:hanging="142"/>
      <w:jc w:val="both"/>
    </w:pPr>
    <w:rPr>
      <w:color w:val="000000"/>
      <w:sz w:val="28"/>
      <w:szCs w:val="28"/>
      <w:lang w:eastAsia="ru-RU"/>
    </w:rPr>
  </w:style>
  <w:style w:type="character" w:customStyle="1" w:styleId="26">
    <w:name w:val="2_Перечень Знак"/>
    <w:basedOn w:val="a1"/>
    <w:link w:val="25"/>
    <w:uiPriority w:val="99"/>
    <w:rPr>
      <w:rFonts w:ascii="Times New Roman" w:hAnsi="Times New Roman" w:cs="Times New Roman"/>
      <w:color w:val="000000"/>
      <w:sz w:val="28"/>
      <w:szCs w:val="28"/>
      <w:lang w:eastAsia="ru-RU"/>
    </w:rPr>
  </w:style>
  <w:style w:type="paragraph" w:customStyle="1" w:styleId="afff3">
    <w:name w:val="Выделение_"/>
    <w:basedOn w:val="a0"/>
    <w:link w:val="afff4"/>
    <w:uiPriority w:val="99"/>
    <w:pPr>
      <w:keepNext/>
      <w:tabs>
        <w:tab w:val="num" w:pos="780"/>
      </w:tabs>
      <w:spacing w:before="120"/>
      <w:jc w:val="both"/>
    </w:pPr>
    <w:rPr>
      <w:b/>
      <w:bCs/>
      <w:sz w:val="28"/>
      <w:szCs w:val="28"/>
    </w:rPr>
  </w:style>
  <w:style w:type="character" w:customStyle="1" w:styleId="afff4">
    <w:name w:val="Выделение_ Знак"/>
    <w:basedOn w:val="a1"/>
    <w:link w:val="afff3"/>
    <w:uiPriority w:val="99"/>
    <w:rPr>
      <w:rFonts w:ascii="Times New Roman" w:hAnsi="Times New Roman" w:cs="Times New Roman"/>
      <w:b/>
      <w:bCs/>
      <w:sz w:val="28"/>
      <w:szCs w:val="28"/>
    </w:rPr>
  </w:style>
  <w:style w:type="paragraph" w:customStyle="1" w:styleId="Default">
    <w:name w:val="Default"/>
    <w:uiPriority w:val="99"/>
    <w:rPr>
      <w:rFonts w:ascii="Arial" w:hAnsi="Arial" w:cs="Arial"/>
      <w:color w:val="000000"/>
      <w:sz w:val="24"/>
      <w:szCs w:val="24"/>
      <w:lang w:eastAsia="en-US"/>
    </w:rPr>
  </w:style>
  <w:style w:type="character" w:customStyle="1" w:styleId="afff5">
    <w:name w:val="Основной текст_"/>
    <w:basedOn w:val="a1"/>
    <w:link w:val="27"/>
    <w:rPr>
      <w:rFonts w:ascii="Times New Roman" w:hAnsi="Times New Roman" w:cs="Times New Roman"/>
      <w:sz w:val="23"/>
      <w:szCs w:val="23"/>
      <w:shd w:val="clear" w:color="auto" w:fill="FFFFFF"/>
    </w:rPr>
  </w:style>
  <w:style w:type="paragraph" w:customStyle="1" w:styleId="27">
    <w:name w:val="Основной текст2"/>
    <w:basedOn w:val="a0"/>
    <w:link w:val="afff5"/>
    <w:uiPriority w:val="99"/>
    <w:pPr>
      <w:widowControl w:val="0"/>
      <w:shd w:val="clear" w:color="auto" w:fill="FFFFFF"/>
      <w:spacing w:line="240" w:lineRule="atLeast"/>
      <w:ind w:firstLine="0"/>
    </w:pPr>
    <w:rPr>
      <w:sz w:val="23"/>
      <w:szCs w:val="23"/>
    </w:rPr>
  </w:style>
  <w:style w:type="character" w:customStyle="1" w:styleId="11pt">
    <w:name w:val="Основной текст + 11 pt"/>
    <w:basedOn w:val="afff5"/>
    <w:uiPriority w:val="99"/>
    <w:rPr>
      <w:rFonts w:ascii="Times New Roman" w:hAnsi="Times New Roman" w:cs="Times New Roman"/>
      <w:b/>
      <w:bCs/>
      <w:color w:val="000000"/>
      <w:spacing w:val="0"/>
      <w:position w:val="0"/>
      <w:sz w:val="22"/>
      <w:szCs w:val="22"/>
      <w:u w:val="none"/>
      <w:shd w:val="clear" w:color="auto" w:fill="FFFFFF"/>
      <w:lang w:val="ru-RU"/>
    </w:rPr>
  </w:style>
  <w:style w:type="character" w:customStyle="1" w:styleId="53">
    <w:name w:val="Основной текст (5)_"/>
    <w:basedOn w:val="a1"/>
    <w:link w:val="54"/>
    <w:uiPriority w:val="99"/>
    <w:rPr>
      <w:rFonts w:ascii="Times New Roman" w:hAnsi="Times New Roman" w:cs="Times New Roman"/>
      <w:b/>
      <w:bCs/>
      <w:sz w:val="23"/>
      <w:szCs w:val="23"/>
      <w:shd w:val="clear" w:color="auto" w:fill="FFFFFF"/>
    </w:rPr>
  </w:style>
  <w:style w:type="paragraph" w:customStyle="1" w:styleId="54">
    <w:name w:val="Основной текст (5)"/>
    <w:basedOn w:val="a0"/>
    <w:link w:val="53"/>
    <w:uiPriority w:val="99"/>
    <w:pPr>
      <w:widowControl w:val="0"/>
      <w:shd w:val="clear" w:color="auto" w:fill="FFFFFF"/>
      <w:spacing w:after="60" w:line="240" w:lineRule="atLeast"/>
      <w:ind w:hanging="1880"/>
    </w:pPr>
    <w:rPr>
      <w:b/>
      <w:bCs/>
      <w:sz w:val="23"/>
      <w:szCs w:val="23"/>
    </w:rPr>
  </w:style>
  <w:style w:type="character" w:customStyle="1" w:styleId="afff6">
    <w:name w:val="Основной текст Знак"/>
    <w:basedOn w:val="a1"/>
    <w:link w:val="afff7"/>
    <w:uiPriority w:val="99"/>
    <w:rPr>
      <w:sz w:val="28"/>
      <w:szCs w:val="28"/>
      <w:shd w:val="clear" w:color="auto" w:fill="FFFFFF"/>
    </w:rPr>
  </w:style>
  <w:style w:type="paragraph" w:styleId="afff7">
    <w:name w:val="Body Text"/>
    <w:basedOn w:val="a0"/>
    <w:link w:val="afff6"/>
    <w:uiPriority w:val="99"/>
    <w:pPr>
      <w:widowControl w:val="0"/>
      <w:shd w:val="clear" w:color="auto" w:fill="FFFFFF"/>
      <w:ind w:firstLine="400"/>
      <w:jc w:val="both"/>
    </w:pPr>
    <w:rPr>
      <w:sz w:val="28"/>
      <w:szCs w:val="28"/>
      <w:lang w:eastAsia="ru-RU"/>
    </w:rPr>
  </w:style>
  <w:style w:type="character" w:customStyle="1" w:styleId="BodyTextChar1">
    <w:name w:val="Body Text Char1"/>
    <w:basedOn w:val="a1"/>
    <w:uiPriority w:val="99"/>
    <w:semiHidden/>
    <w:rPr>
      <w:sz w:val="24"/>
      <w:szCs w:val="24"/>
      <w:lang w:eastAsia="en-US"/>
    </w:rPr>
  </w:style>
  <w:style w:type="character" w:customStyle="1" w:styleId="17">
    <w:name w:val="Основной текст Знак1"/>
    <w:basedOn w:val="a1"/>
    <w:uiPriority w:val="99"/>
    <w:semiHidden/>
    <w:rPr>
      <w:sz w:val="24"/>
      <w:szCs w:val="24"/>
      <w:lang w:eastAsia="en-US"/>
    </w:rPr>
  </w:style>
  <w:style w:type="character" w:customStyle="1" w:styleId="Heading1">
    <w:name w:val="Heading #1_"/>
    <w:basedOn w:val="a1"/>
    <w:link w:val="Heading10"/>
    <w:uiPriority w:val="99"/>
    <w:rPr>
      <w:b/>
      <w:bCs/>
      <w:sz w:val="28"/>
      <w:szCs w:val="28"/>
      <w:shd w:val="clear" w:color="auto" w:fill="FFFFFF"/>
    </w:rPr>
  </w:style>
  <w:style w:type="paragraph" w:customStyle="1" w:styleId="Heading10">
    <w:name w:val="Heading #1"/>
    <w:basedOn w:val="a0"/>
    <w:link w:val="Heading1"/>
    <w:uiPriority w:val="99"/>
    <w:pPr>
      <w:widowControl w:val="0"/>
      <w:shd w:val="clear" w:color="auto" w:fill="FFFFFF"/>
      <w:spacing w:after="100"/>
      <w:ind w:left="1850" w:firstLine="0"/>
      <w:outlineLvl w:val="0"/>
    </w:pPr>
    <w:rPr>
      <w:b/>
      <w:bCs/>
      <w:sz w:val="28"/>
      <w:szCs w:val="28"/>
      <w:lang w:eastAsia="ru-RU"/>
    </w:rPr>
  </w:style>
  <w:style w:type="numbering" w:customStyle="1" w:styleId="1">
    <w:name w:val="Стиль1"/>
    <w:pPr>
      <w:numPr>
        <w:numId w:val="3"/>
      </w:numPr>
    </w:pPr>
  </w:style>
  <w:style w:type="paragraph" w:styleId="28">
    <w:name w:val="Body Text 2"/>
    <w:basedOn w:val="a0"/>
    <w:link w:val="29"/>
    <w:uiPriority w:val="99"/>
    <w:semiHidden/>
    <w:unhideWhenUsed/>
    <w:pPr>
      <w:spacing w:after="120" w:line="480" w:lineRule="auto"/>
    </w:pPr>
  </w:style>
  <w:style w:type="character" w:customStyle="1" w:styleId="29">
    <w:name w:val="Основной текст 2 Знак"/>
    <w:basedOn w:val="a1"/>
    <w:link w:val="28"/>
    <w:uiPriority w:val="99"/>
    <w:semiHidden/>
    <w:rPr>
      <w:sz w:val="24"/>
      <w:szCs w:val="24"/>
      <w:lang w:eastAsia="en-US"/>
    </w:rPr>
  </w:style>
  <w:style w:type="paragraph" w:customStyle="1" w:styleId="18">
    <w:name w:val="Основной текст1"/>
    <w:basedOn w:val="a0"/>
    <w:pPr>
      <w:widowControl w:val="0"/>
      <w:shd w:val="clear" w:color="auto" w:fill="FFFFFF"/>
      <w:ind w:firstLine="400"/>
      <w:jc w:val="both"/>
    </w:pPr>
    <w:rPr>
      <w:color w:val="000000"/>
      <w:sz w:val="28"/>
      <w:szCs w:val="28"/>
      <w:lang w:eastAsia="ru-RU" w:bidi="ru-RU"/>
    </w:rPr>
  </w:style>
  <w:style w:type="character" w:customStyle="1" w:styleId="19">
    <w:name w:val="Заголовок №1_"/>
    <w:basedOn w:val="a1"/>
    <w:link w:val="1a"/>
    <w:rPr>
      <w:b/>
      <w:bCs/>
      <w:sz w:val="28"/>
      <w:szCs w:val="28"/>
      <w:shd w:val="clear" w:color="auto" w:fill="FFFFFF"/>
    </w:rPr>
  </w:style>
  <w:style w:type="paragraph" w:customStyle="1" w:styleId="1a">
    <w:name w:val="Заголовок №1"/>
    <w:basedOn w:val="a0"/>
    <w:link w:val="19"/>
    <w:pPr>
      <w:widowControl w:val="0"/>
      <w:shd w:val="clear" w:color="auto" w:fill="FFFFFF"/>
      <w:spacing w:after="100"/>
      <w:ind w:left="1850" w:firstLine="0"/>
      <w:outlineLvl w:val="0"/>
    </w:pPr>
    <w:rPr>
      <w:b/>
      <w:bCs/>
      <w:sz w:val="28"/>
      <w:szCs w:val="28"/>
      <w:lang w:eastAsia="ru-RU"/>
    </w:rPr>
  </w:style>
  <w:style w:type="character" w:customStyle="1" w:styleId="2a">
    <w:name w:val="Основной текст (2)_"/>
    <w:basedOn w:val="a1"/>
    <w:link w:val="2b"/>
    <w:rPr>
      <w:shd w:val="clear" w:color="auto" w:fill="FFFFFF"/>
    </w:rPr>
  </w:style>
  <w:style w:type="paragraph" w:customStyle="1" w:styleId="2b">
    <w:name w:val="Основной текст (2)"/>
    <w:basedOn w:val="a0"/>
    <w:link w:val="2a"/>
    <w:pPr>
      <w:widowControl w:val="0"/>
      <w:shd w:val="clear" w:color="auto" w:fill="FFFFFF"/>
      <w:ind w:firstLine="0"/>
      <w:jc w:val="both"/>
    </w:pPr>
    <w:rPr>
      <w:sz w:val="22"/>
      <w:szCs w:val="22"/>
      <w:lang w:eastAsia="ru-RU"/>
    </w:rPr>
  </w:style>
  <w:style w:type="table" w:customStyle="1" w:styleId="GridTable4-Accent6">
    <w:name w:val="Grid Table 4 - Accent 6"/>
    <w:basedOn w:val="a2"/>
    <w:uiPriority w:val="59"/>
    <w:pPr>
      <w:ind w:firstLine="709"/>
      <w:jc w:val="both"/>
    </w:pPr>
    <w:rPr>
      <w:rFonts w:asciiTheme="minorHAnsi" w:eastAsiaTheme="minorEastAsia" w:hAnsiTheme="minorHAnsi"/>
      <w:lang w:eastAsia="en-US"/>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7%D0%B0%D0%BA%D0%BE%D0%BD%D0%BE%D0%B4%D0%B0%D1%82%D0%B5%D0%BB%D1%8C%D1%81%D1%82%D0%B2%D0%B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6E8F-04CA-4D20-9F36-3D5447CF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6589</Words>
  <Characters>37563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родолжение формы 1 ОРИД ГПГР Сведения о финансовых вложениях и обязательствах</vt:lpstr>
    </vt:vector>
  </TitlesOfParts>
  <Company>Microsoft</Company>
  <LinksUpToDate>false</LinksUpToDate>
  <CharactersWithSpaces>44064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родолжение формы 1 ОРИД ГПГР Сведения о финансовых вложениях и обязательствах</dc:title>
  <dc:creator>Ныркова Мария Геннадьевна</dc:creator>
  <cp:lastModifiedBy>Гайнутдинова Виктория Анатольевна</cp:lastModifiedBy>
  <cp:revision>2</cp:revision>
  <dcterms:created xsi:type="dcterms:W3CDTF">2024-11-18T12:06:00Z</dcterms:created>
  <dcterms:modified xsi:type="dcterms:W3CDTF">2024-11-18T12:06:00Z</dcterms:modified>
</cp:coreProperties>
</file>